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55" w:rsidRPr="00003243"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003243">
        <w:rPr>
          <w:rFonts w:ascii="Times New Roman" w:hAnsi="Times New Roman" w:cs="Times New Roman"/>
          <w:b/>
          <w:sz w:val="24"/>
          <w:szCs w:val="24"/>
          <w:u w:val="single"/>
        </w:rPr>
        <w:t>Сведения об организационно-правовой форме и распределении уставного капитала</w:t>
      </w:r>
    </w:p>
    <w:p w:rsidR="002A5D55" w:rsidRDefault="006C5ABF" w:rsidP="00003243">
      <w:pPr>
        <w:pStyle w:val="20"/>
        <w:shd w:val="clear" w:color="auto" w:fill="auto"/>
        <w:tabs>
          <w:tab w:val="left" w:pos="663"/>
        </w:tabs>
        <w:spacing w:after="0" w:line="269" w:lineRule="exact"/>
        <w:ind w:left="660" w:firstLine="0"/>
        <w:jc w:val="both"/>
        <w:rPr>
          <w:rFonts w:ascii="Times New Roman" w:hAnsi="Times New Roman" w:cs="Times New Roman"/>
          <w:sz w:val="24"/>
          <w:szCs w:val="24"/>
        </w:rPr>
      </w:pPr>
      <w:r w:rsidRPr="00003243">
        <w:rPr>
          <w:rFonts w:ascii="Times New Roman" w:hAnsi="Times New Roman" w:cs="Times New Roman"/>
          <w:sz w:val="24"/>
          <w:szCs w:val="24"/>
        </w:rPr>
        <w:t xml:space="preserve">Участниками являются 2 </w:t>
      </w:r>
      <w:proofErr w:type="gramStart"/>
      <w:r w:rsidRPr="00003243">
        <w:rPr>
          <w:rFonts w:ascii="Times New Roman" w:hAnsi="Times New Roman" w:cs="Times New Roman"/>
          <w:sz w:val="24"/>
          <w:szCs w:val="24"/>
        </w:rPr>
        <w:t>физических</w:t>
      </w:r>
      <w:proofErr w:type="gramEnd"/>
      <w:r w:rsidRPr="00003243">
        <w:rPr>
          <w:rFonts w:ascii="Times New Roman" w:hAnsi="Times New Roman" w:cs="Times New Roman"/>
          <w:sz w:val="24"/>
          <w:szCs w:val="24"/>
        </w:rPr>
        <w:t xml:space="preserve"> лица</w:t>
      </w:r>
      <w:r w:rsidR="00003243">
        <w:rPr>
          <w:rFonts w:ascii="Times New Roman" w:hAnsi="Times New Roman" w:cs="Times New Roman"/>
          <w:sz w:val="24"/>
          <w:szCs w:val="24"/>
        </w:rPr>
        <w:t xml:space="preserve"> - граждане Российской федерации</w:t>
      </w:r>
      <w:r w:rsidRPr="00003243">
        <w:rPr>
          <w:rFonts w:ascii="Times New Roman" w:hAnsi="Times New Roman" w:cs="Times New Roman"/>
          <w:sz w:val="24"/>
          <w:szCs w:val="24"/>
        </w:rPr>
        <w:t>:</w:t>
      </w:r>
    </w:p>
    <w:p w:rsidR="00BB1D39" w:rsidRPr="00003243" w:rsidRDefault="00BB1D39" w:rsidP="00003243">
      <w:pPr>
        <w:pStyle w:val="20"/>
        <w:shd w:val="clear" w:color="auto" w:fill="auto"/>
        <w:tabs>
          <w:tab w:val="left" w:pos="663"/>
        </w:tabs>
        <w:spacing w:after="0" w:line="269" w:lineRule="exact"/>
        <w:ind w:left="660" w:firstLine="0"/>
        <w:jc w:val="both"/>
        <w:rPr>
          <w:rFonts w:ascii="Times New Roman" w:hAnsi="Times New Roman" w:cs="Times New Roman"/>
          <w:sz w:val="24"/>
          <w:szCs w:val="24"/>
        </w:rPr>
      </w:pPr>
    </w:p>
    <w:p w:rsidR="002A5D55" w:rsidRDefault="00003243">
      <w:pPr>
        <w:pStyle w:val="20"/>
        <w:shd w:val="clear" w:color="auto" w:fill="auto"/>
        <w:spacing w:after="0" w:line="269" w:lineRule="exact"/>
        <w:ind w:left="660" w:hanging="400"/>
        <w:jc w:val="both"/>
        <w:rPr>
          <w:rFonts w:ascii="Times New Roman" w:hAnsi="Times New Roman" w:cs="Times New Roman"/>
          <w:sz w:val="24"/>
          <w:szCs w:val="24"/>
        </w:rPr>
      </w:pPr>
      <w:r>
        <w:rPr>
          <w:rFonts w:ascii="Times New Roman" w:hAnsi="Times New Roman" w:cs="Times New Roman"/>
          <w:sz w:val="24"/>
          <w:szCs w:val="24"/>
        </w:rPr>
        <w:t>60</w:t>
      </w:r>
      <w:r w:rsidR="006C5ABF" w:rsidRPr="00003243">
        <w:rPr>
          <w:rFonts w:ascii="Times New Roman" w:hAnsi="Times New Roman" w:cs="Times New Roman"/>
          <w:sz w:val="24"/>
          <w:szCs w:val="24"/>
        </w:rPr>
        <w:t xml:space="preserve"> % Уставного капитала,</w:t>
      </w:r>
      <w:r>
        <w:rPr>
          <w:rFonts w:ascii="Times New Roman" w:hAnsi="Times New Roman" w:cs="Times New Roman"/>
          <w:sz w:val="24"/>
          <w:szCs w:val="24"/>
        </w:rPr>
        <w:t xml:space="preserve"> принадлежит физическому лицу, являющемуся</w:t>
      </w:r>
      <w:r w:rsidR="006C5ABF" w:rsidRPr="00003243">
        <w:rPr>
          <w:rFonts w:ascii="Times New Roman" w:hAnsi="Times New Roman" w:cs="Times New Roman"/>
          <w:sz w:val="24"/>
          <w:szCs w:val="24"/>
        </w:rPr>
        <w:t xml:space="preserve"> аудитором</w:t>
      </w:r>
      <w:r w:rsidR="0031659B">
        <w:rPr>
          <w:rFonts w:ascii="Times New Roman" w:hAnsi="Times New Roman" w:cs="Times New Roman"/>
          <w:sz w:val="24"/>
          <w:szCs w:val="24"/>
        </w:rPr>
        <w:t xml:space="preserve"> </w:t>
      </w:r>
      <w:bookmarkStart w:id="0" w:name="_GoBack"/>
      <w:bookmarkEnd w:id="0"/>
    </w:p>
    <w:p w:rsidR="00BB1D39" w:rsidRPr="00003243" w:rsidRDefault="00BB1D39">
      <w:pPr>
        <w:pStyle w:val="20"/>
        <w:shd w:val="clear" w:color="auto" w:fill="auto"/>
        <w:spacing w:after="0" w:line="269" w:lineRule="exact"/>
        <w:ind w:left="660" w:hanging="400"/>
        <w:jc w:val="both"/>
        <w:rPr>
          <w:rFonts w:ascii="Times New Roman" w:hAnsi="Times New Roman" w:cs="Times New Roman"/>
          <w:sz w:val="24"/>
          <w:szCs w:val="24"/>
        </w:rPr>
      </w:pPr>
    </w:p>
    <w:p w:rsidR="002A5D55" w:rsidRPr="00BB1D39"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BB1D39">
        <w:rPr>
          <w:rFonts w:ascii="Times New Roman" w:hAnsi="Times New Roman" w:cs="Times New Roman"/>
          <w:b/>
          <w:sz w:val="24"/>
          <w:szCs w:val="24"/>
          <w:u w:val="single"/>
        </w:rPr>
        <w:t xml:space="preserve">ООО </w:t>
      </w:r>
      <w:r w:rsidR="00BB1D39" w:rsidRPr="00BB1D39">
        <w:rPr>
          <w:rFonts w:ascii="Times New Roman" w:hAnsi="Times New Roman" w:cs="Times New Roman"/>
          <w:b/>
          <w:sz w:val="24"/>
          <w:szCs w:val="24"/>
          <w:u w:val="single"/>
        </w:rPr>
        <w:t xml:space="preserve">АКОФ </w:t>
      </w:r>
      <w:r w:rsidRPr="00BB1D39">
        <w:rPr>
          <w:rFonts w:ascii="Times New Roman" w:hAnsi="Times New Roman" w:cs="Times New Roman"/>
          <w:b/>
          <w:sz w:val="24"/>
          <w:szCs w:val="24"/>
          <w:u w:val="single"/>
        </w:rPr>
        <w:t>«</w:t>
      </w:r>
      <w:r w:rsidR="00BB1D39" w:rsidRPr="00BB1D39">
        <w:rPr>
          <w:rFonts w:ascii="Times New Roman" w:hAnsi="Times New Roman" w:cs="Times New Roman"/>
          <w:b/>
          <w:sz w:val="24"/>
          <w:szCs w:val="24"/>
          <w:u w:val="single"/>
        </w:rPr>
        <w:t>АУДИТ-ЦЕНТР</w:t>
      </w:r>
      <w:r w:rsidRPr="00BB1D39">
        <w:rPr>
          <w:rFonts w:ascii="Times New Roman" w:hAnsi="Times New Roman" w:cs="Times New Roman"/>
          <w:b/>
          <w:sz w:val="24"/>
          <w:szCs w:val="24"/>
          <w:u w:val="single"/>
        </w:rPr>
        <w:t>» не входит в состав сети аудиторских организаций.</w:t>
      </w:r>
    </w:p>
    <w:p w:rsidR="002A5D55" w:rsidRPr="00BB1D39" w:rsidRDefault="006C5ABF" w:rsidP="007761E1">
      <w:pPr>
        <w:pStyle w:val="20"/>
        <w:shd w:val="clear" w:color="auto" w:fill="auto"/>
        <w:tabs>
          <w:tab w:val="left" w:pos="663"/>
        </w:tabs>
        <w:ind w:left="260" w:firstLine="0"/>
        <w:rPr>
          <w:rFonts w:ascii="Times New Roman" w:hAnsi="Times New Roman" w:cs="Times New Roman"/>
          <w:b/>
          <w:sz w:val="24"/>
          <w:szCs w:val="24"/>
          <w:u w:val="single"/>
        </w:rPr>
      </w:pPr>
      <w:r w:rsidRPr="00BB1D39">
        <w:rPr>
          <w:rFonts w:ascii="Times New Roman" w:hAnsi="Times New Roman" w:cs="Times New Roman"/>
          <w:b/>
          <w:sz w:val="24"/>
          <w:szCs w:val="24"/>
          <w:u w:val="single"/>
        </w:rPr>
        <w:t>Структура органов управления Общества:</w:t>
      </w:r>
    </w:p>
    <w:p w:rsidR="002A5D55" w:rsidRPr="00003243" w:rsidRDefault="006C5ABF">
      <w:pPr>
        <w:pStyle w:val="20"/>
        <w:numPr>
          <w:ilvl w:val="0"/>
          <w:numId w:val="2"/>
        </w:numPr>
        <w:shd w:val="clear" w:color="auto" w:fill="auto"/>
        <w:tabs>
          <w:tab w:val="left" w:pos="663"/>
        </w:tabs>
        <w:spacing w:after="0" w:line="533"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Общее собрание участников;</w:t>
      </w:r>
    </w:p>
    <w:p w:rsidR="002A5D55" w:rsidRPr="00003243" w:rsidRDefault="006C5ABF">
      <w:pPr>
        <w:pStyle w:val="20"/>
        <w:numPr>
          <w:ilvl w:val="0"/>
          <w:numId w:val="2"/>
        </w:numPr>
        <w:shd w:val="clear" w:color="auto" w:fill="auto"/>
        <w:tabs>
          <w:tab w:val="left" w:pos="663"/>
        </w:tabs>
        <w:spacing w:after="0"/>
        <w:ind w:left="660" w:hanging="40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являющийся единоличным исполнительным органом;</w:t>
      </w:r>
    </w:p>
    <w:p w:rsidR="00BB1D39" w:rsidRDefault="00BB1D39">
      <w:pPr>
        <w:pStyle w:val="20"/>
        <w:shd w:val="clear" w:color="auto" w:fill="auto"/>
        <w:spacing w:after="0" w:line="264" w:lineRule="exact"/>
        <w:ind w:left="660" w:hanging="400"/>
        <w:jc w:val="both"/>
        <w:rPr>
          <w:rFonts w:ascii="Times New Roman" w:hAnsi="Times New Roman" w:cs="Times New Roman"/>
          <w:sz w:val="24"/>
          <w:szCs w:val="24"/>
        </w:rPr>
      </w:pP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1. Общее собрание участников - высший орган управления</w:t>
      </w:r>
    </w:p>
    <w:p w:rsidR="002A5D55" w:rsidRPr="00003243" w:rsidRDefault="006C5ABF">
      <w:pPr>
        <w:pStyle w:val="20"/>
        <w:shd w:val="clear" w:color="auto" w:fill="auto"/>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К компетенции Общего собрания относятся следующие вопросы:</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proofErr w:type="gramEnd"/>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годовых отчетов и годовых бухгалтерских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распределении чистой прибыли общества между участниками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утверждение (принятие) документов, регулирующих внутреннюю деятельность общества (внутренних документов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размещении обществом облигаций и иных эмиссионных ценных бумаг;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аудиторской проверки, утверждение аудитора и определение размера оплаты его услуг;</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реорганизации или ликвидации общества;</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назначение ликвидационной комиссии и утверждение ликвидационных балансов;</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одобрение сделок с заинтересованностью</w:t>
      </w:r>
    </w:p>
    <w:p w:rsidR="002A5D55" w:rsidRPr="00003243" w:rsidRDefault="006C5ABF">
      <w:pPr>
        <w:pStyle w:val="20"/>
        <w:numPr>
          <w:ilvl w:val="0"/>
          <w:numId w:val="2"/>
        </w:numPr>
        <w:shd w:val="clear" w:color="auto" w:fill="auto"/>
        <w:tabs>
          <w:tab w:val="left" w:pos="663"/>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принятие решения о создании филиалов и представительств</w:t>
      </w:r>
    </w:p>
    <w:p w:rsidR="002A5D55" w:rsidRPr="00003243" w:rsidRDefault="006C5ABF">
      <w:pPr>
        <w:pStyle w:val="20"/>
        <w:numPr>
          <w:ilvl w:val="0"/>
          <w:numId w:val="2"/>
        </w:numPr>
        <w:shd w:val="clear" w:color="auto" w:fill="auto"/>
        <w:tabs>
          <w:tab w:val="left" w:pos="663"/>
        </w:tabs>
        <w:spacing w:after="242"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другие сделки, отнесенных законодательством РФ к компетенции общего собрания участников</w:t>
      </w:r>
    </w:p>
    <w:p w:rsidR="002A5D55" w:rsidRPr="00003243" w:rsidRDefault="006C5ABF">
      <w:pPr>
        <w:pStyle w:val="20"/>
        <w:shd w:val="clear" w:color="auto" w:fill="auto"/>
        <w:spacing w:after="0" w:line="262" w:lineRule="exact"/>
        <w:ind w:left="180" w:firstLine="0"/>
        <w:rPr>
          <w:rFonts w:ascii="Times New Roman" w:hAnsi="Times New Roman" w:cs="Times New Roman"/>
          <w:sz w:val="24"/>
          <w:szCs w:val="24"/>
        </w:rPr>
      </w:pPr>
      <w:r w:rsidRPr="00003243">
        <w:rPr>
          <w:rFonts w:ascii="Times New Roman" w:hAnsi="Times New Roman" w:cs="Times New Roman"/>
          <w:sz w:val="24"/>
          <w:szCs w:val="24"/>
        </w:rPr>
        <w:t>2. Исполните</w:t>
      </w:r>
      <w:r w:rsidR="00BB1D39">
        <w:rPr>
          <w:rFonts w:ascii="Times New Roman" w:hAnsi="Times New Roman" w:cs="Times New Roman"/>
          <w:sz w:val="24"/>
          <w:szCs w:val="24"/>
        </w:rPr>
        <w:t>л</w:t>
      </w:r>
      <w:r w:rsidRPr="00003243">
        <w:rPr>
          <w:rFonts w:ascii="Times New Roman" w:hAnsi="Times New Roman" w:cs="Times New Roman"/>
          <w:sz w:val="24"/>
          <w:szCs w:val="24"/>
        </w:rPr>
        <w:t>ьные органы Общества</w:t>
      </w:r>
    </w:p>
    <w:p w:rsidR="002A5D55" w:rsidRPr="00003243" w:rsidRDefault="006C5ABF">
      <w:pPr>
        <w:pStyle w:val="20"/>
        <w:shd w:val="clear" w:color="auto" w:fill="auto"/>
        <w:spacing w:after="0" w:line="262"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Руководство текущей де</w:t>
      </w:r>
      <w:r w:rsidR="00BB1D39">
        <w:rPr>
          <w:rFonts w:ascii="Times New Roman" w:hAnsi="Times New Roman" w:cs="Times New Roman"/>
          <w:sz w:val="24"/>
          <w:szCs w:val="24"/>
        </w:rPr>
        <w:t>ятельностью Общества осуществляе</w:t>
      </w:r>
      <w:r w:rsidRPr="00003243">
        <w:rPr>
          <w:rFonts w:ascii="Times New Roman" w:hAnsi="Times New Roman" w:cs="Times New Roman"/>
          <w:sz w:val="24"/>
          <w:szCs w:val="24"/>
        </w:rPr>
        <w:t>т Генеральный директор, являющийся единоличным исполнительным органом. Генеральный директор подотчет</w:t>
      </w:r>
      <w:r w:rsidR="00BB1D39">
        <w:rPr>
          <w:rFonts w:ascii="Times New Roman" w:hAnsi="Times New Roman" w:cs="Times New Roman"/>
          <w:sz w:val="24"/>
          <w:szCs w:val="24"/>
        </w:rPr>
        <w:t>ен</w:t>
      </w:r>
      <w:r w:rsidRPr="00003243">
        <w:rPr>
          <w:rFonts w:ascii="Times New Roman" w:hAnsi="Times New Roman" w:cs="Times New Roman"/>
          <w:sz w:val="24"/>
          <w:szCs w:val="24"/>
        </w:rPr>
        <w:t xml:space="preserve"> общему собранию участников Общества.</w:t>
      </w:r>
    </w:p>
    <w:p w:rsidR="002A5D55" w:rsidRPr="00003243" w:rsidRDefault="006C5ABF">
      <w:pPr>
        <w:pStyle w:val="20"/>
        <w:shd w:val="clear" w:color="auto" w:fill="auto"/>
        <w:spacing w:after="0" w:line="286" w:lineRule="exact"/>
        <w:ind w:firstLine="660"/>
        <w:jc w:val="both"/>
        <w:rPr>
          <w:rFonts w:ascii="Times New Roman" w:hAnsi="Times New Roman" w:cs="Times New Roman"/>
          <w:sz w:val="24"/>
          <w:szCs w:val="24"/>
        </w:rPr>
      </w:pPr>
      <w:r w:rsidRPr="00003243">
        <w:rPr>
          <w:rFonts w:ascii="Times New Roman" w:hAnsi="Times New Roman" w:cs="Times New Roman"/>
          <w:sz w:val="24"/>
          <w:szCs w:val="24"/>
        </w:rPr>
        <w:t>Генеральный директор решает все вопросы текущей деятельности Общества, за исключением вопросов, отнесенных к исключительной компетенции Общего собрания участников, в том числе:</w:t>
      </w:r>
    </w:p>
    <w:p w:rsidR="002A5D55" w:rsidRPr="00003243" w:rsidRDefault="006C5ABF">
      <w:pPr>
        <w:pStyle w:val="20"/>
        <w:numPr>
          <w:ilvl w:val="0"/>
          <w:numId w:val="2"/>
        </w:numPr>
        <w:shd w:val="clear" w:color="auto" w:fill="auto"/>
        <w:tabs>
          <w:tab w:val="left" w:pos="664"/>
        </w:tabs>
        <w:spacing w:after="0" w:line="286"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lastRenderedPageBreak/>
        <w:t>принимает решения по вопросам, связанным с подготовкой, созывом и проведением общего собрания участников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совершает сделки от имени Общества и распоряжается имуществом Общества для обеспечения его текущей деятельности в пределах, установленных Федеральным законом «Об обществах с ограниченной ответственностью»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выдает доверенности от имени Общества, в том числе с правом передоверия;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открывает в банках расчетный, валютный и другие счета;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сохранности документов по личному составу;</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обеспечивает надлежащее хранение документов Общества в соответствии с Законом РФ “Об обществах с ограниченной ответственностью”;</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издает приказы и дает указания, обязательные для исполнения всеми работниками Общества;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утверждает штатное расписание, заключает и расторгает трудовые договоры с работниками Общества, применяет к работникам меры поощрения и налагает на них взыскания;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proofErr w:type="gramStart"/>
      <w:r w:rsidRPr="00003243">
        <w:rPr>
          <w:rFonts w:ascii="Times New Roman" w:hAnsi="Times New Roman" w:cs="Times New Roman"/>
          <w:sz w:val="24"/>
          <w:szCs w:val="24"/>
        </w:rPr>
        <w:t>утверждает порядок, а также осуществляет ведение списка участников Общества,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roofErr w:type="gramEnd"/>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принимает решение об осуществлении Обществом преимущественного права покупки доли или части доли участника Общества по цене, устанавливаемой на основании балансовой стоимости активов общества на последнюю отчетную дату, или об отказе Общества от осуществления преимущественного права покупки указанной доли (части доли);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организует ведение бухгалтерского учета и отчетности Общества, несет ответственность за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 Общества, представляемых участникам, кредиторам и другим лицам в соответствии с правовыми актами Российской Федерации и настоящим уставом;</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в своей работе руководствуется этикой аудиторов и отвечает за соблюдение этических норм и осуществляет необходимый контроль в данной области;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проводит переговоры с потенциальными клиентами, предшествующие заключению договора на оказание услуг, а также заключает такие договоры;</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подписывает от имени аудиторской организац</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диторские заключения;</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выраженное в форме аудиторского заключения мнение о достоверности бухгалтерской отчетности клиента;</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несет ответственность за систему контроля качества услуг в аудиторской организации;</w:t>
      </w:r>
    </w:p>
    <w:p w:rsidR="002A5D55" w:rsidRPr="00003243" w:rsidRDefault="006C5ABF">
      <w:pPr>
        <w:pStyle w:val="20"/>
        <w:numPr>
          <w:ilvl w:val="0"/>
          <w:numId w:val="2"/>
        </w:numPr>
        <w:shd w:val="clear" w:color="auto" w:fill="auto"/>
        <w:tabs>
          <w:tab w:val="left" w:pos="664"/>
        </w:tabs>
        <w:spacing w:after="0" w:line="264" w:lineRule="exact"/>
        <w:ind w:left="660" w:hanging="400"/>
        <w:jc w:val="both"/>
        <w:rPr>
          <w:rFonts w:ascii="Times New Roman" w:hAnsi="Times New Roman" w:cs="Times New Roman"/>
          <w:sz w:val="24"/>
          <w:szCs w:val="24"/>
        </w:rPr>
      </w:pPr>
      <w:r w:rsidRPr="00003243">
        <w:rPr>
          <w:rFonts w:ascii="Times New Roman" w:hAnsi="Times New Roman" w:cs="Times New Roman"/>
          <w:sz w:val="24"/>
          <w:szCs w:val="24"/>
        </w:rPr>
        <w:t xml:space="preserve">несет персональную ответственность </w:t>
      </w:r>
      <w:proofErr w:type="gramStart"/>
      <w:r w:rsidRPr="00003243">
        <w:rPr>
          <w:rFonts w:ascii="Times New Roman" w:hAnsi="Times New Roman" w:cs="Times New Roman"/>
          <w:sz w:val="24"/>
          <w:szCs w:val="24"/>
        </w:rPr>
        <w:t>за</w:t>
      </w:r>
      <w:proofErr w:type="gramEnd"/>
      <w:r w:rsidRPr="00003243">
        <w:rPr>
          <w:rFonts w:ascii="Times New Roman" w:hAnsi="Times New Roman" w:cs="Times New Roman"/>
          <w:sz w:val="24"/>
          <w:szCs w:val="24"/>
        </w:rPr>
        <w:t>:</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-создание условий и организацию, обеспечивающих защиту сведений, составляющих государственную тайну;</w:t>
      </w:r>
    </w:p>
    <w:p w:rsidR="00BB1D39"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 xml:space="preserve">-создание условий, при которых должностное лицо или работник знакомятся только с теми сведениями, составляющими государственную тайну, и в таких объемах, которые необходимы ему для выполнения его должностных (функциональных) обязанностей; </w:t>
      </w:r>
    </w:p>
    <w:p w:rsidR="002A5D55" w:rsidRPr="00003243" w:rsidRDefault="006C5ABF">
      <w:pPr>
        <w:pStyle w:val="20"/>
        <w:shd w:val="clear" w:color="auto" w:fill="auto"/>
        <w:spacing w:after="0" w:line="290" w:lineRule="exact"/>
        <w:ind w:left="660" w:firstLine="0"/>
        <w:rPr>
          <w:rFonts w:ascii="Times New Roman" w:hAnsi="Times New Roman" w:cs="Times New Roman"/>
          <w:sz w:val="24"/>
          <w:szCs w:val="24"/>
        </w:rPr>
      </w:pPr>
      <w:r w:rsidRPr="00003243">
        <w:rPr>
          <w:rFonts w:ascii="Times New Roman" w:hAnsi="Times New Roman" w:cs="Times New Roman"/>
          <w:sz w:val="24"/>
          <w:szCs w:val="24"/>
        </w:rPr>
        <w:t>-несоблюдение установленных ограничений по ознакомлению со сведениями, составляющими государственную тайну.</w:t>
      </w:r>
    </w:p>
    <w:p w:rsidR="002A5D55" w:rsidRPr="00003243" w:rsidRDefault="006C5ABF">
      <w:pPr>
        <w:pStyle w:val="20"/>
        <w:numPr>
          <w:ilvl w:val="0"/>
          <w:numId w:val="2"/>
        </w:numPr>
        <w:shd w:val="clear" w:color="auto" w:fill="auto"/>
        <w:tabs>
          <w:tab w:val="left" w:pos="682"/>
        </w:tabs>
        <w:spacing w:after="242"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lastRenderedPageBreak/>
        <w:t>осуществляет иные полномочия, не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отнесенные</w:t>
      </w:r>
      <w:r w:rsidR="00BB1D39">
        <w:rPr>
          <w:rFonts w:ascii="Times New Roman" w:hAnsi="Times New Roman" w:cs="Times New Roman"/>
          <w:sz w:val="24"/>
          <w:szCs w:val="24"/>
        </w:rPr>
        <w:t xml:space="preserve"> </w:t>
      </w:r>
      <w:r w:rsidRPr="00003243">
        <w:rPr>
          <w:rFonts w:ascii="Times New Roman" w:hAnsi="Times New Roman" w:cs="Times New Roman"/>
          <w:sz w:val="24"/>
          <w:szCs w:val="24"/>
        </w:rPr>
        <w:t>Федеральным законом «Об обществах с ограниченной ответственностью» или настоящим уставом к компетенции общего собрания участников Общества.</w:t>
      </w:r>
    </w:p>
    <w:p w:rsidR="00BB1D39" w:rsidRPr="00003243" w:rsidRDefault="006C5ABF" w:rsidP="00BB1D39">
      <w:pPr>
        <w:pStyle w:val="20"/>
        <w:shd w:val="clear" w:color="auto" w:fill="auto"/>
        <w:spacing w:after="0" w:line="264" w:lineRule="exact"/>
        <w:ind w:left="220" w:firstLine="0"/>
        <w:jc w:val="center"/>
        <w:rPr>
          <w:rFonts w:ascii="Times New Roman" w:hAnsi="Times New Roman" w:cs="Times New Roman"/>
          <w:sz w:val="24"/>
          <w:szCs w:val="24"/>
        </w:rPr>
      </w:pPr>
      <w:r w:rsidRPr="003B0B8D">
        <w:rPr>
          <w:rFonts w:ascii="Times New Roman" w:hAnsi="Times New Roman" w:cs="Times New Roman"/>
          <w:b/>
          <w:sz w:val="24"/>
          <w:szCs w:val="24"/>
          <w:u w:val="single"/>
        </w:rPr>
        <w:t>Внешний контроль качества работ</w:t>
      </w:r>
      <w:proofErr w:type="gramStart"/>
      <w:r w:rsidRPr="003B0B8D">
        <w:rPr>
          <w:rFonts w:ascii="Times New Roman" w:hAnsi="Times New Roman" w:cs="Times New Roman"/>
          <w:b/>
          <w:sz w:val="24"/>
          <w:szCs w:val="24"/>
          <w:u w:val="single"/>
        </w:rPr>
        <w:t>ы</w:t>
      </w:r>
      <w:r w:rsidRPr="003B0B8D">
        <w:rPr>
          <w:rFonts w:ascii="Times New Roman" w:hAnsi="Times New Roman" w:cs="Times New Roman"/>
          <w:sz w:val="24"/>
          <w:szCs w:val="24"/>
          <w:u w:val="single"/>
        </w:rPr>
        <w:t xml:space="preserve"> </w:t>
      </w:r>
      <w:r w:rsidRPr="003B0B8D">
        <w:rPr>
          <w:rFonts w:ascii="Times New Roman" w:hAnsi="Times New Roman" w:cs="Times New Roman"/>
          <w:b/>
          <w:sz w:val="24"/>
          <w:szCs w:val="24"/>
          <w:u w:val="single"/>
        </w:rPr>
        <w:t>ООО</w:t>
      </w:r>
      <w:proofErr w:type="gramEnd"/>
      <w:r w:rsidRPr="003B0B8D">
        <w:rPr>
          <w:rFonts w:ascii="Times New Roman" w:hAnsi="Times New Roman" w:cs="Times New Roman"/>
          <w:b/>
          <w:sz w:val="24"/>
          <w:szCs w:val="24"/>
          <w:u w:val="single"/>
        </w:rPr>
        <w:t xml:space="preserve"> </w:t>
      </w:r>
      <w:r w:rsidR="00BB1D39" w:rsidRPr="003B0B8D">
        <w:rPr>
          <w:rFonts w:ascii="Times New Roman" w:hAnsi="Times New Roman" w:cs="Times New Roman"/>
          <w:b/>
          <w:sz w:val="24"/>
          <w:szCs w:val="24"/>
          <w:u w:val="single"/>
        </w:rPr>
        <w:t>АКОФ «АУДИТ-ЦЕНТР</w:t>
      </w:r>
    </w:p>
    <w:p w:rsidR="003B0B8D" w:rsidRDefault="003B0B8D">
      <w:pPr>
        <w:pStyle w:val="20"/>
        <w:shd w:val="clear" w:color="auto" w:fill="auto"/>
        <w:spacing w:after="0" w:line="264" w:lineRule="exact"/>
        <w:ind w:left="220" w:firstLine="0"/>
        <w:jc w:val="center"/>
        <w:rPr>
          <w:rFonts w:ascii="Times New Roman" w:hAnsi="Times New Roman" w:cs="Times New Roman"/>
          <w:sz w:val="24"/>
          <w:szCs w:val="24"/>
        </w:rPr>
      </w:pPr>
    </w:p>
    <w:p w:rsidR="002A5D55" w:rsidRDefault="005468FA" w:rsidP="003B0B8D">
      <w:pPr>
        <w:pStyle w:val="20"/>
        <w:shd w:val="clear" w:color="auto" w:fill="auto"/>
        <w:spacing w:after="0" w:line="264" w:lineRule="exact"/>
        <w:ind w:left="220"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r w:rsidR="006C5ABF" w:rsidRPr="00003243">
        <w:rPr>
          <w:rFonts w:ascii="Times New Roman" w:hAnsi="Times New Roman" w:cs="Times New Roman"/>
          <w:sz w:val="24"/>
          <w:szCs w:val="24"/>
        </w:rPr>
        <w:t>роизведен</w:t>
      </w:r>
      <w:proofErr w:type="gramEnd"/>
      <w:r w:rsidR="006C5ABF" w:rsidRPr="00003243">
        <w:rPr>
          <w:rFonts w:ascii="Times New Roman" w:hAnsi="Times New Roman" w:cs="Times New Roman"/>
          <w:sz w:val="24"/>
          <w:szCs w:val="24"/>
        </w:rPr>
        <w:t xml:space="preserve"> в </w:t>
      </w:r>
      <w:r w:rsidR="00BB1D39">
        <w:rPr>
          <w:rFonts w:ascii="Times New Roman" w:hAnsi="Times New Roman" w:cs="Times New Roman"/>
          <w:sz w:val="24"/>
          <w:szCs w:val="24"/>
        </w:rPr>
        <w:t>сентябре  2015 года,</w:t>
      </w:r>
      <w:r w:rsidR="003B0B8D">
        <w:rPr>
          <w:rFonts w:ascii="Times New Roman" w:hAnsi="Times New Roman" w:cs="Times New Roman"/>
          <w:sz w:val="24"/>
          <w:szCs w:val="24"/>
        </w:rPr>
        <w:t xml:space="preserve"> </w:t>
      </w:r>
      <w:r w:rsidR="00BB1D39">
        <w:rPr>
          <w:rFonts w:ascii="Times New Roman" w:hAnsi="Times New Roman" w:cs="Times New Roman"/>
          <w:sz w:val="24"/>
          <w:szCs w:val="24"/>
        </w:rPr>
        <w:t>выдано ЗАКЛЮЧЕНИЕ по результатам проверки качества аудиторской деятельности и соблюдения профессиональной этики</w:t>
      </w:r>
      <w:r w:rsidR="003B0B8D">
        <w:rPr>
          <w:rFonts w:ascii="Times New Roman" w:hAnsi="Times New Roman" w:cs="Times New Roman"/>
          <w:sz w:val="24"/>
          <w:szCs w:val="24"/>
        </w:rPr>
        <w:t xml:space="preserve"> </w:t>
      </w:r>
      <w:r w:rsidR="006C5ABF" w:rsidRPr="00003243">
        <w:rPr>
          <w:rFonts w:ascii="Times New Roman" w:hAnsi="Times New Roman" w:cs="Times New Roman"/>
          <w:sz w:val="24"/>
          <w:szCs w:val="24"/>
        </w:rPr>
        <w:t>№</w:t>
      </w:r>
      <w:r w:rsidR="003B0B8D">
        <w:rPr>
          <w:rFonts w:ascii="Times New Roman" w:hAnsi="Times New Roman" w:cs="Times New Roman"/>
          <w:sz w:val="24"/>
          <w:szCs w:val="24"/>
        </w:rPr>
        <w:t>156</w:t>
      </w:r>
      <w:r w:rsidR="006C5ABF" w:rsidRPr="00003243">
        <w:rPr>
          <w:rFonts w:ascii="Times New Roman" w:hAnsi="Times New Roman" w:cs="Times New Roman"/>
          <w:sz w:val="24"/>
          <w:szCs w:val="24"/>
        </w:rPr>
        <w:t xml:space="preserve"> от </w:t>
      </w:r>
      <w:r w:rsidR="003B0B8D">
        <w:rPr>
          <w:rFonts w:ascii="Times New Roman" w:hAnsi="Times New Roman" w:cs="Times New Roman"/>
          <w:sz w:val="24"/>
          <w:szCs w:val="24"/>
        </w:rPr>
        <w:t>06</w:t>
      </w:r>
      <w:r w:rsidR="006C5ABF" w:rsidRPr="00003243">
        <w:rPr>
          <w:rFonts w:ascii="Times New Roman" w:hAnsi="Times New Roman" w:cs="Times New Roman"/>
          <w:sz w:val="24"/>
          <w:szCs w:val="24"/>
        </w:rPr>
        <w:t xml:space="preserve"> </w:t>
      </w:r>
      <w:r w:rsidR="003B0B8D">
        <w:rPr>
          <w:rFonts w:ascii="Times New Roman" w:hAnsi="Times New Roman" w:cs="Times New Roman"/>
          <w:sz w:val="24"/>
          <w:szCs w:val="24"/>
        </w:rPr>
        <w:t>ноября</w:t>
      </w:r>
      <w:r w:rsidR="006C5ABF" w:rsidRPr="00003243">
        <w:rPr>
          <w:rFonts w:ascii="Times New Roman" w:hAnsi="Times New Roman" w:cs="Times New Roman"/>
          <w:sz w:val="24"/>
          <w:szCs w:val="24"/>
        </w:rPr>
        <w:t xml:space="preserve"> 2015 года</w:t>
      </w:r>
    </w:p>
    <w:p w:rsidR="002A5D55" w:rsidRPr="00003243" w:rsidRDefault="006C5ABF">
      <w:pPr>
        <w:pStyle w:val="20"/>
        <w:shd w:val="clear" w:color="auto" w:fill="auto"/>
        <w:spacing w:line="264" w:lineRule="exact"/>
        <w:ind w:firstLine="700"/>
        <w:jc w:val="both"/>
        <w:rPr>
          <w:rFonts w:ascii="Times New Roman" w:hAnsi="Times New Roman" w:cs="Times New Roman"/>
          <w:sz w:val="24"/>
          <w:szCs w:val="24"/>
        </w:rPr>
      </w:pPr>
      <w:proofErr w:type="gramStart"/>
      <w:r w:rsidRPr="00003243">
        <w:rPr>
          <w:rFonts w:ascii="Times New Roman" w:hAnsi="Times New Roman" w:cs="Times New Roman"/>
          <w:sz w:val="24"/>
          <w:szCs w:val="24"/>
        </w:rPr>
        <w:t>На основании результатов проведенной проверки внешнего контроля качества работы</w:t>
      </w:r>
      <w:r w:rsidR="007761E1">
        <w:rPr>
          <w:rFonts w:ascii="Times New Roman" w:hAnsi="Times New Roman" w:cs="Times New Roman"/>
          <w:sz w:val="24"/>
          <w:szCs w:val="24"/>
        </w:rPr>
        <w:t xml:space="preserve"> </w:t>
      </w:r>
      <w:r w:rsidR="003B0B8D">
        <w:rPr>
          <w:rFonts w:ascii="Times New Roman" w:hAnsi="Times New Roman" w:cs="Times New Roman"/>
          <w:sz w:val="24"/>
          <w:szCs w:val="24"/>
        </w:rPr>
        <w:t xml:space="preserve">Саморегулируемая организация аудиторов </w:t>
      </w:r>
      <w:r w:rsidRPr="00003243">
        <w:rPr>
          <w:rFonts w:ascii="Times New Roman" w:hAnsi="Times New Roman" w:cs="Times New Roman"/>
          <w:sz w:val="24"/>
          <w:szCs w:val="24"/>
        </w:rPr>
        <w:t>Некоммерческое партнерство «</w:t>
      </w:r>
      <w:r w:rsidR="003B0B8D">
        <w:rPr>
          <w:rFonts w:ascii="Times New Roman" w:hAnsi="Times New Roman" w:cs="Times New Roman"/>
          <w:sz w:val="24"/>
          <w:szCs w:val="24"/>
        </w:rPr>
        <w:t>Аудиторская Палата России»</w:t>
      </w:r>
      <w:r w:rsidRPr="00003243">
        <w:rPr>
          <w:rFonts w:ascii="Times New Roman" w:hAnsi="Times New Roman" w:cs="Times New Roman"/>
          <w:sz w:val="24"/>
          <w:szCs w:val="24"/>
        </w:rPr>
        <w:t xml:space="preserve"> удостоверило, что деятельность </w:t>
      </w:r>
      <w:r w:rsidR="003B0B8D">
        <w:rPr>
          <w:rFonts w:ascii="Times New Roman" w:hAnsi="Times New Roman" w:cs="Times New Roman"/>
          <w:sz w:val="24"/>
          <w:szCs w:val="24"/>
        </w:rPr>
        <w:t>ОО</w:t>
      </w:r>
      <w:r w:rsidRPr="00003243">
        <w:rPr>
          <w:rFonts w:ascii="Times New Roman" w:hAnsi="Times New Roman" w:cs="Times New Roman"/>
          <w:sz w:val="24"/>
          <w:szCs w:val="24"/>
        </w:rPr>
        <w:t xml:space="preserve">О </w:t>
      </w:r>
      <w:r w:rsidR="003B0B8D">
        <w:rPr>
          <w:rFonts w:ascii="Times New Roman" w:hAnsi="Times New Roman" w:cs="Times New Roman"/>
          <w:sz w:val="24"/>
          <w:szCs w:val="24"/>
        </w:rPr>
        <w:t xml:space="preserve">АКОФ </w:t>
      </w:r>
      <w:r w:rsidRPr="00003243">
        <w:rPr>
          <w:rFonts w:ascii="Times New Roman" w:hAnsi="Times New Roman" w:cs="Times New Roman"/>
          <w:sz w:val="24"/>
          <w:szCs w:val="24"/>
        </w:rPr>
        <w:t>«</w:t>
      </w:r>
      <w:r w:rsidR="003B0B8D">
        <w:rPr>
          <w:rFonts w:ascii="Times New Roman" w:hAnsi="Times New Roman" w:cs="Times New Roman"/>
          <w:sz w:val="24"/>
          <w:szCs w:val="24"/>
        </w:rPr>
        <w:t>АУДИТ-ЦЕНТР</w:t>
      </w:r>
      <w:r w:rsidRPr="00003243">
        <w:rPr>
          <w:rFonts w:ascii="Times New Roman" w:hAnsi="Times New Roman" w:cs="Times New Roman"/>
          <w:sz w:val="24"/>
          <w:szCs w:val="24"/>
        </w:rPr>
        <w:t xml:space="preserve">» соответствует требованиям Федерального закона «Об аудиторской деятельности», стандартов аудиторской деятельности Правил независимости аудиторов и аудиторских организаций, Кодекса профессиональной этики аудиторов, а также условиям членства в </w:t>
      </w:r>
      <w:r w:rsidR="003B0B8D">
        <w:rPr>
          <w:rFonts w:ascii="Times New Roman" w:hAnsi="Times New Roman" w:cs="Times New Roman"/>
          <w:sz w:val="24"/>
          <w:szCs w:val="24"/>
        </w:rPr>
        <w:t xml:space="preserve">СРО </w:t>
      </w:r>
      <w:r w:rsidRPr="00003243">
        <w:rPr>
          <w:rFonts w:ascii="Times New Roman" w:hAnsi="Times New Roman" w:cs="Times New Roman"/>
          <w:sz w:val="24"/>
          <w:szCs w:val="24"/>
        </w:rPr>
        <w:t>НП «</w:t>
      </w:r>
      <w:r w:rsidR="003B0B8D">
        <w:rPr>
          <w:rFonts w:ascii="Times New Roman" w:hAnsi="Times New Roman" w:cs="Times New Roman"/>
          <w:sz w:val="24"/>
          <w:szCs w:val="24"/>
        </w:rPr>
        <w:t>АПР</w:t>
      </w:r>
      <w:r w:rsidRPr="00003243">
        <w:rPr>
          <w:rFonts w:ascii="Times New Roman" w:hAnsi="Times New Roman" w:cs="Times New Roman"/>
          <w:sz w:val="24"/>
          <w:szCs w:val="24"/>
        </w:rPr>
        <w:t>».</w:t>
      </w:r>
      <w:proofErr w:type="gramEnd"/>
    </w:p>
    <w:p w:rsidR="003B0B8D" w:rsidRDefault="006C5ABF">
      <w:pPr>
        <w:pStyle w:val="20"/>
        <w:shd w:val="clear" w:color="auto" w:fill="auto"/>
        <w:spacing w:after="0" w:line="264" w:lineRule="exact"/>
        <w:ind w:firstLine="2420"/>
        <w:rPr>
          <w:rFonts w:ascii="Times New Roman" w:hAnsi="Times New Roman" w:cs="Times New Roman"/>
          <w:sz w:val="24"/>
          <w:szCs w:val="24"/>
        </w:rPr>
      </w:pPr>
      <w:r w:rsidRPr="003B0B8D">
        <w:rPr>
          <w:rFonts w:ascii="Times New Roman" w:hAnsi="Times New Roman" w:cs="Times New Roman"/>
          <w:b/>
          <w:sz w:val="24"/>
          <w:szCs w:val="24"/>
          <w:u w:val="single"/>
        </w:rPr>
        <w:t>Система внутреннего контроля качества</w:t>
      </w:r>
      <w:r w:rsidRPr="00003243">
        <w:rPr>
          <w:rFonts w:ascii="Times New Roman" w:hAnsi="Times New Roman" w:cs="Times New Roman"/>
          <w:sz w:val="24"/>
          <w:szCs w:val="24"/>
        </w:rPr>
        <w:t xml:space="preserve"> </w:t>
      </w:r>
    </w:p>
    <w:p w:rsidR="003B0B8D" w:rsidRDefault="003B0B8D">
      <w:pPr>
        <w:pStyle w:val="20"/>
        <w:shd w:val="clear" w:color="auto" w:fill="auto"/>
        <w:spacing w:after="0" w:line="264" w:lineRule="exact"/>
        <w:ind w:firstLine="2420"/>
        <w:rPr>
          <w:rFonts w:ascii="Times New Roman" w:hAnsi="Times New Roman" w:cs="Times New Roman"/>
          <w:sz w:val="24"/>
          <w:szCs w:val="24"/>
        </w:rPr>
      </w:pPr>
    </w:p>
    <w:p w:rsidR="002A5D55" w:rsidRPr="00003243" w:rsidRDefault="006C5ABF" w:rsidP="003B0B8D">
      <w:pPr>
        <w:pStyle w:val="20"/>
        <w:shd w:val="clear" w:color="auto" w:fill="auto"/>
        <w:spacing w:after="0" w:line="264" w:lineRule="exact"/>
        <w:ind w:firstLine="567"/>
        <w:jc w:val="both"/>
        <w:rPr>
          <w:rFonts w:ascii="Times New Roman" w:hAnsi="Times New Roman" w:cs="Times New Roman"/>
          <w:sz w:val="24"/>
          <w:szCs w:val="24"/>
        </w:rPr>
      </w:pPr>
      <w:r w:rsidRPr="00003243">
        <w:rPr>
          <w:rFonts w:ascii="Times New Roman" w:hAnsi="Times New Roman" w:cs="Times New Roman"/>
          <w:sz w:val="24"/>
          <w:szCs w:val="24"/>
        </w:rPr>
        <w:t>В организации разработан и утвержден внутрифирменный регламент «Контроль качества услуг в аудиторской организации». Целью данного документа является установление требований к организации и функционированию внутрифирменной системы контроля качества аудита и достижение высокого качества оказания аудиторских услуг.</w:t>
      </w: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Система контроля качества в организации устанавливает принципы и процедуры в отношении каждого из следующих элементов:</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обязанности руководства по обеспечению высокого качества предоставляемых аудиторских услуг;</w:t>
      </w:r>
    </w:p>
    <w:p w:rsidR="002A5D55" w:rsidRPr="00003243" w:rsidRDefault="006C5ABF">
      <w:pPr>
        <w:pStyle w:val="20"/>
        <w:numPr>
          <w:ilvl w:val="0"/>
          <w:numId w:val="2"/>
        </w:numPr>
        <w:shd w:val="clear" w:color="auto" w:fill="auto"/>
        <w:tabs>
          <w:tab w:val="left" w:pos="682"/>
        </w:tabs>
        <w:spacing w:after="0" w:line="269"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этические требования;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принятие на обслуживание нового клиента и продолжение сотрудничества;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выполнения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надзор за выполнением задания;</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кадровая работа;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правила консультирования и документального оформления разногласий, жалоб и претензий;</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обзорная проверка качества аудита;</w:t>
      </w:r>
    </w:p>
    <w:p w:rsidR="002A5D55" w:rsidRPr="00003243" w:rsidRDefault="006C5ABF">
      <w:pPr>
        <w:pStyle w:val="20"/>
        <w:numPr>
          <w:ilvl w:val="0"/>
          <w:numId w:val="2"/>
        </w:numPr>
        <w:shd w:val="clear" w:color="auto" w:fill="auto"/>
        <w:tabs>
          <w:tab w:val="left" w:pos="682"/>
        </w:tabs>
        <w:spacing w:after="0" w:line="264" w:lineRule="exact"/>
        <w:ind w:left="700"/>
        <w:jc w:val="both"/>
        <w:rPr>
          <w:rFonts w:ascii="Times New Roman" w:hAnsi="Times New Roman" w:cs="Times New Roman"/>
          <w:sz w:val="24"/>
          <w:szCs w:val="24"/>
        </w:rPr>
      </w:pPr>
      <w:r w:rsidRPr="00003243">
        <w:rPr>
          <w:rFonts w:ascii="Times New Roman" w:hAnsi="Times New Roman" w:cs="Times New Roman"/>
          <w:sz w:val="24"/>
          <w:szCs w:val="24"/>
        </w:rPr>
        <w:t>мониторинг.</w:t>
      </w:r>
    </w:p>
    <w:p w:rsidR="002A5D55"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Внутрифирменная система контроля качества, действующая в организации, обеспечивает и гарантирует высокое качество предоставляемых аудиторских услуг.</w:t>
      </w:r>
    </w:p>
    <w:p w:rsidR="003B0B8D" w:rsidRPr="00003243" w:rsidRDefault="003B0B8D">
      <w:pPr>
        <w:pStyle w:val="20"/>
        <w:shd w:val="clear" w:color="auto" w:fill="auto"/>
        <w:spacing w:after="0" w:line="264" w:lineRule="exact"/>
        <w:ind w:firstLine="700"/>
        <w:jc w:val="both"/>
        <w:rPr>
          <w:rFonts w:ascii="Times New Roman" w:hAnsi="Times New Roman" w:cs="Times New Roman"/>
          <w:sz w:val="24"/>
          <w:szCs w:val="24"/>
        </w:rPr>
      </w:pPr>
    </w:p>
    <w:p w:rsidR="002A5D55" w:rsidRPr="00D537EB" w:rsidRDefault="006C5ABF">
      <w:pPr>
        <w:pStyle w:val="20"/>
        <w:shd w:val="clear" w:color="auto" w:fill="auto"/>
        <w:spacing w:after="0" w:line="264" w:lineRule="exact"/>
        <w:ind w:left="180" w:firstLine="0"/>
        <w:jc w:val="center"/>
        <w:rPr>
          <w:rFonts w:ascii="Times New Roman" w:hAnsi="Times New Roman" w:cs="Times New Roman"/>
          <w:b/>
          <w:sz w:val="24"/>
          <w:szCs w:val="24"/>
          <w:u w:val="single"/>
        </w:rPr>
      </w:pPr>
      <w:r w:rsidRPr="00D537EB">
        <w:rPr>
          <w:rFonts w:ascii="Times New Roman" w:hAnsi="Times New Roman" w:cs="Times New Roman"/>
          <w:b/>
          <w:sz w:val="24"/>
          <w:szCs w:val="24"/>
          <w:u w:val="single"/>
        </w:rPr>
        <w:t>Правила независимости</w:t>
      </w:r>
    </w:p>
    <w:p w:rsidR="003B0B8D" w:rsidRPr="003B0B8D" w:rsidRDefault="003B0B8D">
      <w:pPr>
        <w:pStyle w:val="20"/>
        <w:shd w:val="clear" w:color="auto" w:fill="auto"/>
        <w:spacing w:after="0" w:line="264" w:lineRule="exact"/>
        <w:ind w:left="180" w:firstLine="0"/>
        <w:jc w:val="center"/>
        <w:rPr>
          <w:rFonts w:ascii="Times New Roman" w:hAnsi="Times New Roman" w:cs="Times New Roman"/>
          <w:b/>
          <w:sz w:val="24"/>
          <w:szCs w:val="24"/>
        </w:rPr>
      </w:pPr>
    </w:p>
    <w:p w:rsidR="002A5D55" w:rsidRPr="00003243" w:rsidRDefault="006C5ABF">
      <w:pPr>
        <w:pStyle w:val="20"/>
        <w:shd w:val="clear" w:color="auto" w:fill="auto"/>
        <w:spacing w:after="291"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В организации введены в действие «Правила независимости аудиторов и аудиторских организаций при оказан</w:t>
      </w:r>
      <w:proofErr w:type="gramStart"/>
      <w:r w:rsidRPr="00003243">
        <w:rPr>
          <w:rFonts w:ascii="Times New Roman" w:hAnsi="Times New Roman" w:cs="Times New Roman"/>
          <w:sz w:val="24"/>
          <w:szCs w:val="24"/>
        </w:rPr>
        <w:t>ии ау</w:t>
      </w:r>
      <w:proofErr w:type="gramEnd"/>
      <w:r w:rsidRPr="00003243">
        <w:rPr>
          <w:rFonts w:ascii="Times New Roman" w:hAnsi="Times New Roman" w:cs="Times New Roman"/>
          <w:sz w:val="24"/>
          <w:szCs w:val="24"/>
        </w:rPr>
        <w:t>диторских услуг», исполнение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требований которых обеспечивает постоянно действующая комиссия по независимости, в обязанности которой входит проверка соблюдения независимости. Разработаны и утверждены «Процедуры, обеспечивающие независимость», «Меры предосторожности для устранения угроз независимости или сведения их до приемлемого уровня». Оформляются листы независимости на всех требуемых уровнях лицами, определенными Правилами независимости и внутрифирменным регламентом «Контроль качества услуг в аудиторской организации».</w:t>
      </w:r>
    </w:p>
    <w:p w:rsidR="007761E1" w:rsidRDefault="007761E1">
      <w:pPr>
        <w:pStyle w:val="20"/>
        <w:shd w:val="clear" w:color="auto" w:fill="auto"/>
        <w:spacing w:after="0" w:line="200" w:lineRule="exact"/>
        <w:ind w:left="180" w:firstLine="0"/>
        <w:jc w:val="center"/>
        <w:rPr>
          <w:rFonts w:ascii="Times New Roman" w:hAnsi="Times New Roman" w:cs="Times New Roman"/>
          <w:b/>
          <w:sz w:val="24"/>
          <w:szCs w:val="24"/>
          <w:u w:val="single"/>
        </w:rPr>
      </w:pPr>
    </w:p>
    <w:p w:rsidR="002A5D55" w:rsidRDefault="006C5ABF" w:rsidP="007761E1">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lastRenderedPageBreak/>
        <w:t>Повышение квалификации</w:t>
      </w:r>
    </w:p>
    <w:p w:rsidR="003B0B8D" w:rsidRPr="003B0B8D" w:rsidRDefault="003B0B8D" w:rsidP="007761E1">
      <w:pPr>
        <w:pStyle w:val="20"/>
        <w:shd w:val="clear" w:color="auto" w:fill="auto"/>
        <w:spacing w:after="212" w:line="200" w:lineRule="exact"/>
        <w:ind w:firstLine="0"/>
        <w:jc w:val="center"/>
        <w:rPr>
          <w:rFonts w:ascii="Times New Roman" w:hAnsi="Times New Roman" w:cs="Times New Roman"/>
          <w:b/>
          <w:sz w:val="24"/>
          <w:szCs w:val="24"/>
          <w:u w:val="single"/>
        </w:rPr>
      </w:pPr>
    </w:p>
    <w:p w:rsidR="002A5D55" w:rsidRPr="00003243" w:rsidRDefault="006C5ABF">
      <w:pPr>
        <w:pStyle w:val="20"/>
        <w:shd w:val="clear" w:color="auto" w:fill="auto"/>
        <w:spacing w:after="0" w:line="264" w:lineRule="exact"/>
        <w:ind w:firstLine="700"/>
        <w:jc w:val="both"/>
        <w:rPr>
          <w:rFonts w:ascii="Times New Roman" w:hAnsi="Times New Roman" w:cs="Times New Roman"/>
          <w:sz w:val="24"/>
          <w:szCs w:val="24"/>
        </w:rPr>
      </w:pPr>
      <w:r w:rsidRPr="00003243">
        <w:rPr>
          <w:rFonts w:ascii="Times New Roman" w:hAnsi="Times New Roman" w:cs="Times New Roman"/>
          <w:sz w:val="24"/>
          <w:szCs w:val="24"/>
        </w:rPr>
        <w:t xml:space="preserve">В организации действует инструкция «Порядок повышения квалификации сотрудников фирмы». Аудиторы, имеющие квалификационные аттестаты, проходят </w:t>
      </w:r>
      <w:proofErr w:type="gramStart"/>
      <w:r w:rsidRPr="00003243">
        <w:rPr>
          <w:rFonts w:ascii="Times New Roman" w:hAnsi="Times New Roman" w:cs="Times New Roman"/>
          <w:sz w:val="24"/>
          <w:szCs w:val="24"/>
        </w:rPr>
        <w:t>обучение по программам</w:t>
      </w:r>
      <w:proofErr w:type="gramEnd"/>
      <w:r w:rsidRPr="00003243">
        <w:rPr>
          <w:rFonts w:ascii="Times New Roman" w:hAnsi="Times New Roman" w:cs="Times New Roman"/>
          <w:sz w:val="24"/>
          <w:szCs w:val="24"/>
        </w:rPr>
        <w:t xml:space="preserve"> повышения квалификации в объеме</w:t>
      </w:r>
      <w:r w:rsidR="003B0B8D">
        <w:rPr>
          <w:rFonts w:ascii="Times New Roman" w:hAnsi="Times New Roman" w:cs="Times New Roman"/>
          <w:sz w:val="24"/>
          <w:szCs w:val="24"/>
        </w:rPr>
        <w:t xml:space="preserve"> </w:t>
      </w:r>
      <w:r w:rsidRPr="00003243">
        <w:rPr>
          <w:rFonts w:ascii="Times New Roman" w:hAnsi="Times New Roman" w:cs="Times New Roman"/>
          <w:sz w:val="24"/>
          <w:szCs w:val="24"/>
        </w:rPr>
        <w:t>40 часов в учебно-методических центрах. Ежегодно аудиторы составляют программу самообразования также в объеме 40 час в год. Ежеквартально проводятся семинары в соответствии с планами-графиками. На основании утвержденного в организации «Положения об аттестации» один раз в три года проводится аттестация сотрудников.</w:t>
      </w:r>
    </w:p>
    <w:p w:rsidR="002A5D55" w:rsidRPr="00003243" w:rsidRDefault="006C5ABF">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Продвижение по службе, размер вознаграждения зависят от результатов аттестации, текущего надзора, обзорных проверок, выборочных инспекций, т.е. от профессиональной компетентности каждого сотрудника</w:t>
      </w:r>
    </w:p>
    <w:p w:rsidR="005468FA" w:rsidRDefault="005468FA">
      <w:pPr>
        <w:pStyle w:val="20"/>
        <w:shd w:val="clear" w:color="auto" w:fill="auto"/>
        <w:spacing w:after="212" w:line="200" w:lineRule="exact"/>
        <w:ind w:firstLine="0"/>
        <w:jc w:val="center"/>
        <w:rPr>
          <w:rFonts w:ascii="Times New Roman" w:hAnsi="Times New Roman" w:cs="Times New Roman"/>
          <w:b/>
          <w:sz w:val="24"/>
          <w:szCs w:val="24"/>
          <w:u w:val="single"/>
        </w:rPr>
      </w:pPr>
    </w:p>
    <w:p w:rsidR="002A5D55" w:rsidRPr="003B0B8D" w:rsidRDefault="006C5ABF">
      <w:pPr>
        <w:pStyle w:val="20"/>
        <w:shd w:val="clear" w:color="auto" w:fill="auto"/>
        <w:spacing w:after="212" w:line="200" w:lineRule="exact"/>
        <w:ind w:firstLine="0"/>
        <w:jc w:val="center"/>
        <w:rPr>
          <w:rFonts w:ascii="Times New Roman" w:hAnsi="Times New Roman" w:cs="Times New Roman"/>
          <w:b/>
          <w:sz w:val="24"/>
          <w:szCs w:val="24"/>
          <w:u w:val="single"/>
        </w:rPr>
      </w:pPr>
      <w:r w:rsidRPr="003B0B8D">
        <w:rPr>
          <w:rFonts w:ascii="Times New Roman" w:hAnsi="Times New Roman" w:cs="Times New Roman"/>
          <w:b/>
          <w:sz w:val="24"/>
          <w:szCs w:val="24"/>
          <w:u w:val="single"/>
        </w:rPr>
        <w:t>Меры по обеспечению ротации руководителей проверки</w:t>
      </w:r>
    </w:p>
    <w:p w:rsidR="002A5D55" w:rsidRPr="00003243" w:rsidRDefault="006C5ABF" w:rsidP="007761E1">
      <w:pPr>
        <w:pStyle w:val="20"/>
        <w:shd w:val="clear" w:color="auto" w:fill="auto"/>
        <w:spacing w:after="242"/>
        <w:ind w:firstLine="700"/>
        <w:jc w:val="both"/>
        <w:rPr>
          <w:rFonts w:ascii="Times New Roman" w:hAnsi="Times New Roman" w:cs="Times New Roman"/>
          <w:sz w:val="24"/>
          <w:szCs w:val="24"/>
        </w:rPr>
      </w:pPr>
      <w:r w:rsidRPr="00003243">
        <w:rPr>
          <w:rFonts w:ascii="Times New Roman" w:hAnsi="Times New Roman" w:cs="Times New Roman"/>
          <w:sz w:val="24"/>
          <w:szCs w:val="24"/>
        </w:rPr>
        <w:t>Не менее одного раза в 7 лет проводится ротация руководителей проверки.</w:t>
      </w:r>
    </w:p>
    <w:p w:rsidR="00003243" w:rsidRDefault="006C5ABF" w:rsidP="007761E1">
      <w:pPr>
        <w:pStyle w:val="20"/>
        <w:shd w:val="clear" w:color="auto" w:fill="auto"/>
        <w:spacing w:after="242"/>
        <w:ind w:firstLine="700"/>
        <w:jc w:val="both"/>
        <w:rPr>
          <w:rFonts w:ascii="Times New Roman" w:hAnsi="Times New Roman" w:cs="Times New Roman"/>
          <w:sz w:val="24"/>
          <w:szCs w:val="24"/>
        </w:rPr>
      </w:pPr>
      <w:r w:rsidRPr="007761E1">
        <w:rPr>
          <w:rFonts w:ascii="Times New Roman" w:hAnsi="Times New Roman" w:cs="Times New Roman"/>
          <w:sz w:val="24"/>
          <w:szCs w:val="24"/>
        </w:rPr>
        <w:t>В отношении общественно значимых хозяйствующих субъектов</w:t>
      </w:r>
      <w:r w:rsidR="003B0B8D" w:rsidRPr="007761E1">
        <w:rPr>
          <w:rFonts w:ascii="Times New Roman" w:hAnsi="Times New Roman" w:cs="Times New Roman"/>
          <w:sz w:val="24"/>
          <w:szCs w:val="24"/>
        </w:rPr>
        <w:t xml:space="preserve"> </w:t>
      </w:r>
      <w:r w:rsidRPr="007761E1">
        <w:rPr>
          <w:rFonts w:ascii="Times New Roman" w:hAnsi="Times New Roman" w:cs="Times New Roman"/>
          <w:sz w:val="24"/>
          <w:szCs w:val="24"/>
        </w:rPr>
        <w:t xml:space="preserve">- ротация руководителей проверки проводится также не менее одного раза в 7 лет. </w:t>
      </w:r>
    </w:p>
    <w:p w:rsidR="00C05D13" w:rsidRDefault="00C05D13" w:rsidP="007761E1">
      <w:pPr>
        <w:pStyle w:val="20"/>
        <w:shd w:val="clear" w:color="auto" w:fill="auto"/>
        <w:spacing w:after="242"/>
        <w:ind w:firstLine="700"/>
        <w:jc w:val="both"/>
        <w:rPr>
          <w:rFonts w:ascii="Times New Roman" w:hAnsi="Times New Roman" w:cs="Times New Roman"/>
          <w:sz w:val="24"/>
          <w:szCs w:val="24"/>
        </w:rPr>
      </w:pPr>
    </w:p>
    <w:p w:rsidR="00C05D13" w:rsidRDefault="00C05D13" w:rsidP="007761E1">
      <w:pPr>
        <w:pStyle w:val="20"/>
        <w:shd w:val="clear" w:color="auto" w:fill="auto"/>
        <w:spacing w:after="242"/>
        <w:ind w:firstLine="700"/>
        <w:jc w:val="both"/>
        <w:rPr>
          <w:rFonts w:ascii="Times New Roman" w:hAnsi="Times New Roman" w:cs="Times New Roman"/>
          <w:b/>
          <w:sz w:val="24"/>
          <w:szCs w:val="24"/>
        </w:rPr>
      </w:pPr>
      <w:r w:rsidRPr="00C05D13">
        <w:rPr>
          <w:rFonts w:ascii="Times New Roman" w:hAnsi="Times New Roman" w:cs="Times New Roman"/>
          <w:b/>
          <w:sz w:val="24"/>
          <w:szCs w:val="24"/>
        </w:rPr>
        <w:t>Наименования всех организаций, предусмотренных частью 3 статьи 5 Федерального закона «Об аудиторской деятельности», в отношении бухгалтерской (финансовой) отчетности которых аудиторской организацией ООО АКОФ «АУДИТ-ЦЕНТР» в  прошедшем календарном году был проведен обязательный аудит:</w:t>
      </w:r>
    </w:p>
    <w:p w:rsidR="00C05D13" w:rsidRPr="00C05D13" w:rsidRDefault="00C05D13" w:rsidP="00C05D13">
      <w:pPr>
        <w:pStyle w:val="20"/>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1.</w:t>
      </w:r>
      <w:r w:rsidRPr="00C05D13">
        <w:rPr>
          <w:rFonts w:ascii="Times New Roman" w:hAnsi="Times New Roman" w:cs="Times New Roman"/>
          <w:sz w:val="24"/>
          <w:szCs w:val="24"/>
        </w:rPr>
        <w:t>Акционерный коммерческий банк «Тольяттихимбанк» (закрытое акционерное общество)</w:t>
      </w:r>
    </w:p>
    <w:p w:rsidR="00C05D13" w:rsidRPr="00C05D13" w:rsidRDefault="00C05D13" w:rsidP="00C05D13">
      <w:pPr>
        <w:pStyle w:val="20"/>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2.</w:t>
      </w:r>
      <w:r w:rsidRPr="00C05D13">
        <w:rPr>
          <w:rFonts w:ascii="Times New Roman" w:hAnsi="Times New Roman" w:cs="Times New Roman"/>
          <w:sz w:val="24"/>
          <w:szCs w:val="24"/>
        </w:rPr>
        <w:t>Закрытое акционерное общество «Региональный коммерческий банк»</w:t>
      </w:r>
    </w:p>
    <w:p w:rsidR="00C05D13" w:rsidRPr="00C05D13" w:rsidRDefault="00C05D13" w:rsidP="00C05D13">
      <w:pPr>
        <w:pStyle w:val="20"/>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3.</w:t>
      </w:r>
      <w:r w:rsidRPr="00C05D13">
        <w:rPr>
          <w:rFonts w:ascii="Times New Roman" w:hAnsi="Times New Roman" w:cs="Times New Roman"/>
          <w:sz w:val="24"/>
          <w:szCs w:val="24"/>
        </w:rPr>
        <w:t>ЗАКРЫТОЕ АКЦИОНЕРНОЕ ОБЩЕСТВО  «НАРОДНЫЙ ИНВЕСТИЦИОННЫЙ БАНК»</w:t>
      </w:r>
    </w:p>
    <w:p w:rsidR="00C05D13" w:rsidRPr="00C05D13" w:rsidRDefault="00C05D13" w:rsidP="00C05D13">
      <w:pPr>
        <w:pStyle w:val="20"/>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4.</w:t>
      </w:r>
      <w:r w:rsidRPr="00C05D13">
        <w:rPr>
          <w:rFonts w:ascii="Times New Roman" w:hAnsi="Times New Roman" w:cs="Times New Roman"/>
          <w:sz w:val="24"/>
          <w:szCs w:val="24"/>
        </w:rPr>
        <w:t>Акционерный Коммерческий Банк «Банк развития технологий и сбережений» (закрытое акционерное общество)</w:t>
      </w:r>
    </w:p>
    <w:p w:rsidR="00C05D13" w:rsidRPr="00C05D13" w:rsidRDefault="00C05D13" w:rsidP="00C05D13">
      <w:pPr>
        <w:pStyle w:val="20"/>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5.</w:t>
      </w:r>
      <w:r w:rsidRPr="00C05D13">
        <w:rPr>
          <w:rFonts w:ascii="Times New Roman" w:hAnsi="Times New Roman" w:cs="Times New Roman"/>
          <w:sz w:val="24"/>
          <w:szCs w:val="24"/>
        </w:rPr>
        <w:t xml:space="preserve">Общество с ограниченной ответственностью «Самарский </w:t>
      </w:r>
      <w:proofErr w:type="spellStart"/>
      <w:r w:rsidRPr="00C05D13">
        <w:rPr>
          <w:rFonts w:ascii="Times New Roman" w:hAnsi="Times New Roman" w:cs="Times New Roman"/>
          <w:sz w:val="24"/>
          <w:szCs w:val="24"/>
        </w:rPr>
        <w:t>ипотечно</w:t>
      </w:r>
      <w:proofErr w:type="spellEnd"/>
      <w:r w:rsidRPr="00C05D13">
        <w:rPr>
          <w:rFonts w:ascii="Times New Roman" w:hAnsi="Times New Roman" w:cs="Times New Roman"/>
          <w:sz w:val="24"/>
          <w:szCs w:val="24"/>
        </w:rPr>
        <w:t>-земельный банк»</w:t>
      </w:r>
    </w:p>
    <w:p w:rsidR="00C05D13" w:rsidRDefault="00C05D13" w:rsidP="00C05D13">
      <w:pPr>
        <w:pStyle w:val="20"/>
        <w:shd w:val="clear" w:color="auto" w:fill="auto"/>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6.</w:t>
      </w:r>
      <w:r w:rsidRPr="00C05D13">
        <w:rPr>
          <w:rFonts w:ascii="Times New Roman" w:hAnsi="Times New Roman" w:cs="Times New Roman"/>
          <w:sz w:val="24"/>
          <w:szCs w:val="24"/>
        </w:rPr>
        <w:t>Небанковская кредитная организация «Расчетная палата Самарской валютной межбанковской биржи»- закрытое акционерное общество</w:t>
      </w:r>
    </w:p>
    <w:p w:rsidR="00C05D13" w:rsidRDefault="00C05D13" w:rsidP="00C05D13">
      <w:pPr>
        <w:pStyle w:val="20"/>
        <w:shd w:val="clear" w:color="auto" w:fill="auto"/>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7. </w:t>
      </w:r>
      <w:r w:rsidRPr="00C05D13">
        <w:rPr>
          <w:rFonts w:ascii="Times New Roman" w:hAnsi="Times New Roman" w:cs="Times New Roman"/>
          <w:sz w:val="24"/>
          <w:szCs w:val="24"/>
        </w:rPr>
        <w:t>Закрытое акционерное общество Управляющая компания  «Финансовые Бизнес Системы» Д.У. ЗПИФ недвижимости «</w:t>
      </w:r>
      <w:proofErr w:type="spellStart"/>
      <w:r w:rsidRPr="00C05D13">
        <w:rPr>
          <w:rFonts w:ascii="Times New Roman" w:hAnsi="Times New Roman" w:cs="Times New Roman"/>
          <w:sz w:val="24"/>
          <w:szCs w:val="24"/>
        </w:rPr>
        <w:t>Волгаинвест</w:t>
      </w:r>
      <w:proofErr w:type="spellEnd"/>
      <w:r w:rsidRPr="00C05D13">
        <w:rPr>
          <w:rFonts w:ascii="Times New Roman" w:hAnsi="Times New Roman" w:cs="Times New Roman"/>
          <w:sz w:val="24"/>
          <w:szCs w:val="24"/>
        </w:rPr>
        <w:t>-Недвижимость»</w:t>
      </w:r>
    </w:p>
    <w:p w:rsidR="00C05D13" w:rsidRPr="00C05D13" w:rsidRDefault="00C05D13" w:rsidP="00C05D13">
      <w:pPr>
        <w:pStyle w:val="20"/>
        <w:shd w:val="clear" w:color="auto" w:fill="auto"/>
        <w:spacing w:after="0" w:line="240" w:lineRule="auto"/>
        <w:ind w:firstLine="697"/>
        <w:jc w:val="both"/>
        <w:rPr>
          <w:rFonts w:ascii="Times New Roman" w:hAnsi="Times New Roman" w:cs="Times New Roman"/>
          <w:sz w:val="24"/>
          <w:szCs w:val="24"/>
        </w:rPr>
      </w:pPr>
    </w:p>
    <w:p w:rsidR="00C05D13" w:rsidRPr="00C05D13" w:rsidRDefault="00C05D13" w:rsidP="00C05D13">
      <w:pPr>
        <w:pStyle w:val="20"/>
        <w:spacing w:after="242"/>
        <w:ind w:firstLine="700"/>
        <w:jc w:val="both"/>
        <w:rPr>
          <w:rFonts w:ascii="Times New Roman" w:hAnsi="Times New Roman" w:cs="Times New Roman"/>
          <w:sz w:val="24"/>
          <w:szCs w:val="24"/>
        </w:rPr>
      </w:pPr>
      <w:r>
        <w:rPr>
          <w:rFonts w:ascii="Times New Roman" w:hAnsi="Times New Roman" w:cs="Times New Roman"/>
          <w:sz w:val="24"/>
          <w:szCs w:val="24"/>
        </w:rPr>
        <w:t>С</w:t>
      </w:r>
      <w:r w:rsidRPr="00C05D13">
        <w:rPr>
          <w:rFonts w:ascii="Times New Roman" w:hAnsi="Times New Roman" w:cs="Times New Roman"/>
          <w:sz w:val="24"/>
          <w:szCs w:val="24"/>
        </w:rPr>
        <w:t xml:space="preserve">ведения о выручке аудиторской организации ООО </w:t>
      </w:r>
      <w:r w:rsidR="009B02A2">
        <w:rPr>
          <w:rFonts w:ascii="Times New Roman" w:hAnsi="Times New Roman" w:cs="Times New Roman"/>
          <w:sz w:val="24"/>
          <w:szCs w:val="24"/>
        </w:rPr>
        <w:t xml:space="preserve">АКОФ </w:t>
      </w:r>
      <w:r w:rsidRPr="00C05D13">
        <w:rPr>
          <w:rFonts w:ascii="Times New Roman" w:hAnsi="Times New Roman" w:cs="Times New Roman"/>
          <w:sz w:val="24"/>
          <w:szCs w:val="24"/>
        </w:rPr>
        <w:t>«</w:t>
      </w:r>
      <w:r w:rsidR="009B02A2">
        <w:rPr>
          <w:rFonts w:ascii="Times New Roman" w:hAnsi="Times New Roman" w:cs="Times New Roman"/>
          <w:sz w:val="24"/>
          <w:szCs w:val="24"/>
        </w:rPr>
        <w:t>АУДИТ-ЦЕНТР</w:t>
      </w:r>
      <w:r w:rsidRPr="00C05D13">
        <w:rPr>
          <w:rFonts w:ascii="Times New Roman" w:hAnsi="Times New Roman" w:cs="Times New Roman"/>
          <w:sz w:val="24"/>
          <w:szCs w:val="24"/>
        </w:rPr>
        <w:t xml:space="preserve">» за прошлый отчетный год, в том числе о суммах, полученных </w:t>
      </w:r>
      <w:proofErr w:type="gramStart"/>
      <w:r w:rsidRPr="00C05D13">
        <w:rPr>
          <w:rFonts w:ascii="Times New Roman" w:hAnsi="Times New Roman" w:cs="Times New Roman"/>
          <w:sz w:val="24"/>
          <w:szCs w:val="24"/>
        </w:rPr>
        <w:t>от</w:t>
      </w:r>
      <w:proofErr w:type="gramEnd"/>
      <w:r w:rsidRPr="00C05D13">
        <w:rPr>
          <w:rFonts w:ascii="Times New Roman" w:hAnsi="Times New Roman" w:cs="Times New Roman"/>
          <w:sz w:val="24"/>
          <w:szCs w:val="24"/>
        </w:rPr>
        <w:t>:</w:t>
      </w:r>
    </w:p>
    <w:p w:rsidR="00C05D13" w:rsidRPr="00C05D13" w:rsidRDefault="00C05D13" w:rsidP="00C05D13">
      <w:pPr>
        <w:pStyle w:val="20"/>
        <w:spacing w:after="242"/>
        <w:ind w:firstLine="700"/>
        <w:jc w:val="both"/>
        <w:rPr>
          <w:rFonts w:ascii="Times New Roman" w:hAnsi="Times New Roman" w:cs="Times New Roman"/>
          <w:sz w:val="24"/>
          <w:szCs w:val="24"/>
        </w:rPr>
      </w:pPr>
      <w:r w:rsidRPr="00C05D13">
        <w:rPr>
          <w:rFonts w:ascii="Times New Roman" w:hAnsi="Times New Roman" w:cs="Times New Roman"/>
          <w:sz w:val="24"/>
          <w:szCs w:val="24"/>
        </w:rPr>
        <w:tab/>
        <w:t>а) проведения обязательного аудита бухгалтерской (финансовой) отчетности, в том числе консолидированной:</w:t>
      </w:r>
    </w:p>
    <w:p w:rsidR="00C05D13" w:rsidRPr="00C05D13" w:rsidRDefault="00C05D13" w:rsidP="00C05D13">
      <w:pPr>
        <w:pStyle w:val="20"/>
        <w:spacing w:after="242"/>
        <w:ind w:firstLine="700"/>
        <w:jc w:val="both"/>
        <w:rPr>
          <w:rFonts w:ascii="Times New Roman" w:hAnsi="Times New Roman" w:cs="Times New Roman"/>
          <w:sz w:val="24"/>
          <w:szCs w:val="24"/>
        </w:rPr>
      </w:pPr>
      <w:r w:rsidRPr="00C05D13">
        <w:rPr>
          <w:rFonts w:ascii="Times New Roman" w:hAnsi="Times New Roman" w:cs="Times New Roman"/>
          <w:sz w:val="24"/>
          <w:szCs w:val="24"/>
        </w:rPr>
        <w:tab/>
        <w:t xml:space="preserve">- организаций, предусмотренных частью 3 статьи 5 Федерального закона «Об аудиторской деятельности», и организаций, входящих в группы, находящиеся под их контролем – </w:t>
      </w:r>
      <w:r w:rsidR="009B02A2">
        <w:rPr>
          <w:rFonts w:ascii="Times New Roman" w:hAnsi="Times New Roman" w:cs="Times New Roman"/>
          <w:sz w:val="24"/>
          <w:szCs w:val="24"/>
        </w:rPr>
        <w:t>1587,5</w:t>
      </w:r>
      <w:r w:rsidRPr="00C05D13">
        <w:rPr>
          <w:rFonts w:ascii="Times New Roman" w:hAnsi="Times New Roman" w:cs="Times New Roman"/>
          <w:sz w:val="24"/>
          <w:szCs w:val="24"/>
        </w:rPr>
        <w:t xml:space="preserve"> </w:t>
      </w:r>
      <w:proofErr w:type="spellStart"/>
      <w:r w:rsidRPr="00C05D13">
        <w:rPr>
          <w:rFonts w:ascii="Times New Roman" w:hAnsi="Times New Roman" w:cs="Times New Roman"/>
          <w:sz w:val="24"/>
          <w:szCs w:val="24"/>
        </w:rPr>
        <w:t>тыс</w:t>
      </w:r>
      <w:proofErr w:type="gramStart"/>
      <w:r w:rsidRPr="00C05D13">
        <w:rPr>
          <w:rFonts w:ascii="Times New Roman" w:hAnsi="Times New Roman" w:cs="Times New Roman"/>
          <w:sz w:val="24"/>
          <w:szCs w:val="24"/>
        </w:rPr>
        <w:t>.р</w:t>
      </w:r>
      <w:proofErr w:type="gramEnd"/>
      <w:r w:rsidRPr="00C05D13">
        <w:rPr>
          <w:rFonts w:ascii="Times New Roman" w:hAnsi="Times New Roman" w:cs="Times New Roman"/>
          <w:sz w:val="24"/>
          <w:szCs w:val="24"/>
        </w:rPr>
        <w:t>уб</w:t>
      </w:r>
      <w:proofErr w:type="spellEnd"/>
      <w:r w:rsidRPr="00C05D13">
        <w:rPr>
          <w:rFonts w:ascii="Times New Roman" w:hAnsi="Times New Roman" w:cs="Times New Roman"/>
          <w:sz w:val="24"/>
          <w:szCs w:val="24"/>
        </w:rPr>
        <w:t>.;</w:t>
      </w:r>
    </w:p>
    <w:p w:rsidR="00C05D13" w:rsidRPr="00C05D13" w:rsidRDefault="00C05D13" w:rsidP="00C05D13">
      <w:pPr>
        <w:pStyle w:val="20"/>
        <w:spacing w:after="242"/>
        <w:ind w:firstLine="700"/>
        <w:jc w:val="both"/>
        <w:rPr>
          <w:rFonts w:ascii="Times New Roman" w:hAnsi="Times New Roman" w:cs="Times New Roman"/>
          <w:sz w:val="24"/>
          <w:szCs w:val="24"/>
        </w:rPr>
      </w:pPr>
      <w:r w:rsidRPr="00C05D13">
        <w:rPr>
          <w:rFonts w:ascii="Times New Roman" w:hAnsi="Times New Roman" w:cs="Times New Roman"/>
          <w:sz w:val="24"/>
          <w:szCs w:val="24"/>
        </w:rPr>
        <w:lastRenderedPageBreak/>
        <w:tab/>
        <w:t xml:space="preserve">- прочих организаций – </w:t>
      </w:r>
      <w:r w:rsidR="009B02A2">
        <w:rPr>
          <w:rFonts w:ascii="Times New Roman" w:hAnsi="Times New Roman" w:cs="Times New Roman"/>
          <w:sz w:val="24"/>
          <w:szCs w:val="24"/>
        </w:rPr>
        <w:t>2188</w:t>
      </w:r>
      <w:r w:rsidRPr="00C05D13">
        <w:rPr>
          <w:rFonts w:ascii="Times New Roman" w:hAnsi="Times New Roman" w:cs="Times New Roman"/>
          <w:sz w:val="24"/>
          <w:szCs w:val="24"/>
        </w:rPr>
        <w:t xml:space="preserve">  </w:t>
      </w:r>
      <w:proofErr w:type="spellStart"/>
      <w:r w:rsidRPr="00C05D13">
        <w:rPr>
          <w:rFonts w:ascii="Times New Roman" w:hAnsi="Times New Roman" w:cs="Times New Roman"/>
          <w:sz w:val="24"/>
          <w:szCs w:val="24"/>
        </w:rPr>
        <w:t>тыс</w:t>
      </w:r>
      <w:proofErr w:type="gramStart"/>
      <w:r w:rsidRPr="00C05D13">
        <w:rPr>
          <w:rFonts w:ascii="Times New Roman" w:hAnsi="Times New Roman" w:cs="Times New Roman"/>
          <w:sz w:val="24"/>
          <w:szCs w:val="24"/>
        </w:rPr>
        <w:t>.р</w:t>
      </w:r>
      <w:proofErr w:type="gramEnd"/>
      <w:r w:rsidRPr="00C05D13">
        <w:rPr>
          <w:rFonts w:ascii="Times New Roman" w:hAnsi="Times New Roman" w:cs="Times New Roman"/>
          <w:sz w:val="24"/>
          <w:szCs w:val="24"/>
        </w:rPr>
        <w:t>уб</w:t>
      </w:r>
      <w:proofErr w:type="spellEnd"/>
      <w:r w:rsidRPr="00C05D13">
        <w:rPr>
          <w:rFonts w:ascii="Times New Roman" w:hAnsi="Times New Roman" w:cs="Times New Roman"/>
          <w:sz w:val="24"/>
          <w:szCs w:val="24"/>
        </w:rPr>
        <w:t>.;</w:t>
      </w:r>
    </w:p>
    <w:p w:rsidR="00C05D13" w:rsidRPr="00C05D13" w:rsidRDefault="00C05D13" w:rsidP="00C05D13">
      <w:pPr>
        <w:pStyle w:val="20"/>
        <w:spacing w:after="242"/>
        <w:ind w:firstLine="700"/>
        <w:jc w:val="both"/>
        <w:rPr>
          <w:rFonts w:ascii="Times New Roman" w:hAnsi="Times New Roman" w:cs="Times New Roman"/>
          <w:sz w:val="24"/>
          <w:szCs w:val="24"/>
        </w:rPr>
      </w:pPr>
      <w:r w:rsidRPr="00C05D13">
        <w:rPr>
          <w:rFonts w:ascii="Times New Roman" w:hAnsi="Times New Roman" w:cs="Times New Roman"/>
          <w:sz w:val="24"/>
          <w:szCs w:val="24"/>
        </w:rPr>
        <w:tab/>
        <w:t>б) предоставления услуг, связанных с выполнением отличных от аудита бухгалтерской (финансовой) отчетности организаций заданий, обеспечивающих уверенность, консультационных услуг в области налогообложения и прочих связанных с аудиторской деятельностью услуг:</w:t>
      </w:r>
    </w:p>
    <w:p w:rsidR="00C05D13" w:rsidRPr="00C05D13" w:rsidRDefault="00C05D13" w:rsidP="00C05D13">
      <w:pPr>
        <w:pStyle w:val="20"/>
        <w:spacing w:after="242"/>
        <w:ind w:firstLine="700"/>
        <w:jc w:val="both"/>
        <w:rPr>
          <w:rFonts w:ascii="Times New Roman" w:hAnsi="Times New Roman" w:cs="Times New Roman"/>
          <w:sz w:val="24"/>
          <w:szCs w:val="24"/>
        </w:rPr>
      </w:pPr>
      <w:r w:rsidRPr="00C05D13">
        <w:rPr>
          <w:rFonts w:ascii="Times New Roman" w:hAnsi="Times New Roman" w:cs="Times New Roman"/>
          <w:sz w:val="24"/>
          <w:szCs w:val="24"/>
        </w:rPr>
        <w:t xml:space="preserve">- </w:t>
      </w:r>
      <w:proofErr w:type="spellStart"/>
      <w:r w:rsidRPr="00C05D13">
        <w:rPr>
          <w:rFonts w:ascii="Times New Roman" w:hAnsi="Times New Roman" w:cs="Times New Roman"/>
          <w:sz w:val="24"/>
          <w:szCs w:val="24"/>
        </w:rPr>
        <w:t>аудируемым</w:t>
      </w:r>
      <w:proofErr w:type="spellEnd"/>
      <w:r w:rsidRPr="00C05D13">
        <w:rPr>
          <w:rFonts w:ascii="Times New Roman" w:hAnsi="Times New Roman" w:cs="Times New Roman"/>
          <w:sz w:val="24"/>
          <w:szCs w:val="24"/>
        </w:rPr>
        <w:t xml:space="preserve"> лицам – </w:t>
      </w:r>
      <w:r w:rsidR="009B02A2">
        <w:rPr>
          <w:rFonts w:ascii="Times New Roman" w:hAnsi="Times New Roman" w:cs="Times New Roman"/>
          <w:sz w:val="24"/>
          <w:szCs w:val="24"/>
        </w:rPr>
        <w:t xml:space="preserve">545 </w:t>
      </w:r>
      <w:proofErr w:type="spellStart"/>
      <w:r w:rsidR="009B02A2">
        <w:rPr>
          <w:rFonts w:ascii="Times New Roman" w:hAnsi="Times New Roman" w:cs="Times New Roman"/>
          <w:sz w:val="24"/>
          <w:szCs w:val="24"/>
        </w:rPr>
        <w:t>тыс.руб</w:t>
      </w:r>
      <w:proofErr w:type="spellEnd"/>
      <w:r w:rsidR="009B02A2">
        <w:rPr>
          <w:rFonts w:ascii="Times New Roman" w:hAnsi="Times New Roman" w:cs="Times New Roman"/>
          <w:sz w:val="24"/>
          <w:szCs w:val="24"/>
        </w:rPr>
        <w:t>..</w:t>
      </w:r>
    </w:p>
    <w:sectPr w:rsidR="00C05D13" w:rsidRPr="00C05D13">
      <w:pgSz w:w="11900" w:h="16840"/>
      <w:pgMar w:top="1279" w:right="1227" w:bottom="1717" w:left="13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0E0" w:rsidRDefault="00EF20E0">
      <w:r>
        <w:separator/>
      </w:r>
    </w:p>
  </w:endnote>
  <w:endnote w:type="continuationSeparator" w:id="0">
    <w:p w:rsidR="00EF20E0" w:rsidRDefault="00EF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0E0" w:rsidRDefault="00EF20E0"/>
  </w:footnote>
  <w:footnote w:type="continuationSeparator" w:id="0">
    <w:p w:rsidR="00EF20E0" w:rsidRDefault="00EF20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B2A05"/>
    <w:multiLevelType w:val="multilevel"/>
    <w:tmpl w:val="533460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3D20AF"/>
    <w:multiLevelType w:val="multilevel"/>
    <w:tmpl w:val="07BE45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1545A3"/>
    <w:multiLevelType w:val="multilevel"/>
    <w:tmpl w:val="6A9AEF34"/>
    <w:lvl w:ilvl="0">
      <w:start w:val="1"/>
      <w:numFmt w:val="decimal"/>
      <w:lvlText w:val="%1."/>
      <w:lvlJc w:val="left"/>
      <w:rPr>
        <w:rFonts w:ascii="Arial" w:eastAsia="Arial" w:hAnsi="Arial" w:cs="Arial"/>
        <w:b/>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5D55"/>
    <w:rsid w:val="00003243"/>
    <w:rsid w:val="002A5D55"/>
    <w:rsid w:val="0031659B"/>
    <w:rsid w:val="003B0B8D"/>
    <w:rsid w:val="005468FA"/>
    <w:rsid w:val="006C5ABF"/>
    <w:rsid w:val="007761E1"/>
    <w:rsid w:val="009B02A2"/>
    <w:rsid w:val="00BB1D39"/>
    <w:rsid w:val="00C05D13"/>
    <w:rsid w:val="00D537EB"/>
    <w:rsid w:val="00EB12E3"/>
    <w:rsid w:val="00EF20E0"/>
    <w:rsid w:val="00F14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Arial" w:eastAsia="Arial" w:hAnsi="Arial" w:cs="Arial"/>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66" w:lineRule="exact"/>
      <w:ind w:hanging="420"/>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1626</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5</cp:revision>
  <dcterms:created xsi:type="dcterms:W3CDTF">2018-02-20T11:28:00Z</dcterms:created>
  <dcterms:modified xsi:type="dcterms:W3CDTF">2018-04-16T09:11:00Z</dcterms:modified>
</cp:coreProperties>
</file>