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55" w:rsidRPr="00003243"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003243">
        <w:rPr>
          <w:rFonts w:ascii="Times New Roman" w:hAnsi="Times New Roman" w:cs="Times New Roman"/>
          <w:b/>
          <w:sz w:val="24"/>
          <w:szCs w:val="24"/>
          <w:u w:val="single"/>
        </w:rPr>
        <w:t>Сведения об организационно-правовой форме и распределении уставного капитала</w:t>
      </w:r>
    </w:p>
    <w:p w:rsidR="002A5D55" w:rsidRDefault="006C5ABF"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r w:rsidRPr="00003243">
        <w:rPr>
          <w:rFonts w:ascii="Times New Roman" w:hAnsi="Times New Roman" w:cs="Times New Roman"/>
          <w:sz w:val="24"/>
          <w:szCs w:val="24"/>
        </w:rPr>
        <w:t xml:space="preserve">Участниками являются 2 </w:t>
      </w:r>
      <w:proofErr w:type="gramStart"/>
      <w:r w:rsidRPr="00003243">
        <w:rPr>
          <w:rFonts w:ascii="Times New Roman" w:hAnsi="Times New Roman" w:cs="Times New Roman"/>
          <w:sz w:val="24"/>
          <w:szCs w:val="24"/>
        </w:rPr>
        <w:t>физических</w:t>
      </w:r>
      <w:proofErr w:type="gramEnd"/>
      <w:r w:rsidRPr="00003243">
        <w:rPr>
          <w:rFonts w:ascii="Times New Roman" w:hAnsi="Times New Roman" w:cs="Times New Roman"/>
          <w:sz w:val="24"/>
          <w:szCs w:val="24"/>
        </w:rPr>
        <w:t xml:space="preserve"> лица</w:t>
      </w:r>
      <w:r w:rsidR="00003243">
        <w:rPr>
          <w:rFonts w:ascii="Times New Roman" w:hAnsi="Times New Roman" w:cs="Times New Roman"/>
          <w:sz w:val="24"/>
          <w:szCs w:val="24"/>
        </w:rPr>
        <w:t xml:space="preserve"> - граждане Российской федерации</w:t>
      </w:r>
      <w:r w:rsidRPr="00003243">
        <w:rPr>
          <w:rFonts w:ascii="Times New Roman" w:hAnsi="Times New Roman" w:cs="Times New Roman"/>
          <w:sz w:val="24"/>
          <w:szCs w:val="24"/>
        </w:rPr>
        <w:t>:</w:t>
      </w:r>
    </w:p>
    <w:p w:rsidR="00BB1D39" w:rsidRPr="00003243" w:rsidRDefault="00BB1D39"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p>
    <w:p w:rsidR="002A5D55" w:rsidRDefault="00003243">
      <w:pPr>
        <w:pStyle w:val="20"/>
        <w:shd w:val="clear" w:color="auto" w:fill="auto"/>
        <w:spacing w:after="0" w:line="269" w:lineRule="exact"/>
        <w:ind w:left="660" w:hanging="400"/>
        <w:jc w:val="both"/>
        <w:rPr>
          <w:rFonts w:ascii="Times New Roman" w:hAnsi="Times New Roman" w:cs="Times New Roman"/>
          <w:sz w:val="24"/>
          <w:szCs w:val="24"/>
        </w:rPr>
      </w:pPr>
      <w:r>
        <w:rPr>
          <w:rFonts w:ascii="Times New Roman" w:hAnsi="Times New Roman" w:cs="Times New Roman"/>
          <w:sz w:val="24"/>
          <w:szCs w:val="24"/>
        </w:rPr>
        <w:t>60</w:t>
      </w:r>
      <w:r w:rsidR="006C5ABF" w:rsidRPr="00003243">
        <w:rPr>
          <w:rFonts w:ascii="Times New Roman" w:hAnsi="Times New Roman" w:cs="Times New Roman"/>
          <w:sz w:val="24"/>
          <w:szCs w:val="24"/>
        </w:rPr>
        <w:t xml:space="preserve"> % Уставного капитала,</w:t>
      </w:r>
      <w:r>
        <w:rPr>
          <w:rFonts w:ascii="Times New Roman" w:hAnsi="Times New Roman" w:cs="Times New Roman"/>
          <w:sz w:val="24"/>
          <w:szCs w:val="24"/>
        </w:rPr>
        <w:t xml:space="preserve"> принадлежит физическому лицу, являющемуся</w:t>
      </w:r>
      <w:r w:rsidR="006C5ABF" w:rsidRPr="00003243">
        <w:rPr>
          <w:rFonts w:ascii="Times New Roman" w:hAnsi="Times New Roman" w:cs="Times New Roman"/>
          <w:sz w:val="24"/>
          <w:szCs w:val="24"/>
        </w:rPr>
        <w:t xml:space="preserve"> аудитором</w:t>
      </w:r>
    </w:p>
    <w:p w:rsidR="00BB1D39" w:rsidRPr="00003243" w:rsidRDefault="00BB1D39">
      <w:pPr>
        <w:pStyle w:val="20"/>
        <w:shd w:val="clear" w:color="auto" w:fill="auto"/>
        <w:spacing w:after="0" w:line="269" w:lineRule="exact"/>
        <w:ind w:left="660" w:hanging="400"/>
        <w:jc w:val="both"/>
        <w:rPr>
          <w:rFonts w:ascii="Times New Roman" w:hAnsi="Times New Roman" w:cs="Times New Roman"/>
          <w:sz w:val="24"/>
          <w:szCs w:val="24"/>
        </w:rPr>
      </w:pP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line="533"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Общее собрание участников;</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1. Общее собрание участников - высший орган управления</w:t>
      </w: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К компетенции Общего собрания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roofErr w:type="gramEnd"/>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2A5D55" w:rsidRPr="00003243" w:rsidRDefault="006C5ABF">
      <w:pPr>
        <w:pStyle w:val="20"/>
        <w:shd w:val="clear" w:color="auto" w:fill="auto"/>
        <w:spacing w:after="0" w:line="262" w:lineRule="exact"/>
        <w:ind w:left="180" w:firstLine="0"/>
        <w:rPr>
          <w:rFonts w:ascii="Times New Roman" w:hAnsi="Times New Roman" w:cs="Times New Roman"/>
          <w:sz w:val="24"/>
          <w:szCs w:val="24"/>
        </w:rPr>
      </w:pPr>
      <w:r w:rsidRPr="00003243">
        <w:rPr>
          <w:rFonts w:ascii="Times New Roman" w:hAnsi="Times New Roman" w:cs="Times New Roman"/>
          <w:sz w:val="24"/>
          <w:szCs w:val="24"/>
        </w:rPr>
        <w:t>2. Исполните</w:t>
      </w:r>
      <w:r w:rsidR="00BB1D39">
        <w:rPr>
          <w:rFonts w:ascii="Times New Roman" w:hAnsi="Times New Roman" w:cs="Times New Roman"/>
          <w:sz w:val="24"/>
          <w:szCs w:val="24"/>
        </w:rPr>
        <w:t>л</w:t>
      </w:r>
      <w:r w:rsidRPr="00003243">
        <w:rPr>
          <w:rFonts w:ascii="Times New Roman" w:hAnsi="Times New Roman" w:cs="Times New Roman"/>
          <w:sz w:val="24"/>
          <w:szCs w:val="24"/>
        </w:rPr>
        <w:t>ьные органы Общества</w:t>
      </w:r>
    </w:p>
    <w:p w:rsidR="002A5D55" w:rsidRPr="00003243" w:rsidRDefault="006C5ABF">
      <w:pPr>
        <w:pStyle w:val="20"/>
        <w:shd w:val="clear" w:color="auto" w:fill="auto"/>
        <w:spacing w:after="0" w:line="262"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Руководство текущей де</w:t>
      </w:r>
      <w:r w:rsidR="00BB1D39">
        <w:rPr>
          <w:rFonts w:ascii="Times New Roman" w:hAnsi="Times New Roman" w:cs="Times New Roman"/>
          <w:sz w:val="24"/>
          <w:szCs w:val="24"/>
        </w:rPr>
        <w:t>ятельностью Общества осуществляе</w:t>
      </w:r>
      <w:r w:rsidRPr="00003243">
        <w:rPr>
          <w:rFonts w:ascii="Times New Roman" w:hAnsi="Times New Roman" w:cs="Times New Roman"/>
          <w:sz w:val="24"/>
          <w:szCs w:val="24"/>
        </w:rPr>
        <w:t>т Генеральный директор, являющийся единоличным исполнительным органом. Генеральный директор подотчет</w:t>
      </w:r>
      <w:r w:rsidR="00BB1D39">
        <w:rPr>
          <w:rFonts w:ascii="Times New Roman" w:hAnsi="Times New Roman" w:cs="Times New Roman"/>
          <w:sz w:val="24"/>
          <w:szCs w:val="24"/>
        </w:rPr>
        <w:t>ен</w:t>
      </w:r>
      <w:r w:rsidRPr="00003243">
        <w:rPr>
          <w:rFonts w:ascii="Times New Roman" w:hAnsi="Times New Roman" w:cs="Times New Roman"/>
          <w:sz w:val="24"/>
          <w:szCs w:val="24"/>
        </w:rPr>
        <w:t xml:space="preserve"> общему собранию участников Общества.</w:t>
      </w:r>
    </w:p>
    <w:p w:rsidR="002A5D55" w:rsidRPr="00003243" w:rsidRDefault="006C5ABF">
      <w:pPr>
        <w:pStyle w:val="20"/>
        <w:shd w:val="clear" w:color="auto" w:fill="auto"/>
        <w:spacing w:after="0" w:line="286"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участников, в том числе:</w:t>
      </w:r>
    </w:p>
    <w:p w:rsidR="002A5D55" w:rsidRPr="00003243" w:rsidRDefault="006C5ABF">
      <w:pPr>
        <w:pStyle w:val="20"/>
        <w:numPr>
          <w:ilvl w:val="0"/>
          <w:numId w:val="2"/>
        </w:numPr>
        <w:shd w:val="clear" w:color="auto" w:fill="auto"/>
        <w:tabs>
          <w:tab w:val="left" w:pos="664"/>
        </w:tabs>
        <w:spacing w:after="0" w:line="286"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lastRenderedPageBreak/>
        <w:t>принимает решения по вопросам, связанным с подготовкой, созывом и проведением общего собрания участников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совершает сделки от имени Общества и распоряжается имуществом Общества для обеспечения его текущей деятельности в пределах, установленных Федеральным законом «Об обществах с ограниченной ответственностью»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выдает доверенности от имени Общества, в том числе с правом передоверия;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открывает в банках расчетный, валютный и другие счета;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сохранности документов по личному составу;</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надлежащее хранение документов Общества в соответствии с Законом РФ “Об обществах с ограниченной ответственностью”;</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издает приказы и дает указания, обязательные для исполнения всеми работниками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утверждает штатное расписание, заключает и расторгает трудовые договоры с работниками Общества, применяет к работникам меры поощрения и налагает на них взыскания;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утверждает порядок, а также осуществляет ведение списка участников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roofErr w:type="gramEnd"/>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принимает решение об осуществлении Обществом преимущественного права покупки доли или части доли участника Общества по цене, устанавливаемой на основании балансовой стоимости активов общества на последнюю отчетную дату, или об отказе Общества от осуществления преимущественного права покупки указанной доли (части доли);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организует ведение бухгалтерского учета и отчетности Общества, несет ответственность за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и другим лицам в соответствии с правовыми актами Российской Федерации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 своей работе руководствуется этикой аудиторов и отвечает за соблюдение этических норм и осуществляет необходимый контроль в данной области;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проводит переговоры с потенциальными клиентами, предшествующие заключению договора на оказание услуг, а также заключает такие договоры;</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подписывает от имени аудиторской организац</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диторские заключения;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выраженное в форме аудиторского заключения мнение о достоверности бухгалтерской отчетности клиента;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систему контроля качества услуг в аудиторской организации;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 xml:space="preserve">несет персональную ответственность </w:t>
      </w:r>
      <w:proofErr w:type="gramStart"/>
      <w:r w:rsidRPr="00003243">
        <w:rPr>
          <w:rFonts w:ascii="Times New Roman" w:hAnsi="Times New Roman" w:cs="Times New Roman"/>
          <w:sz w:val="24"/>
          <w:szCs w:val="24"/>
        </w:rPr>
        <w:t>за</w:t>
      </w:r>
      <w:proofErr w:type="gramEnd"/>
      <w:r w:rsidRPr="00003243">
        <w:rPr>
          <w:rFonts w:ascii="Times New Roman" w:hAnsi="Times New Roman" w:cs="Times New Roman"/>
          <w:sz w:val="24"/>
          <w:szCs w:val="24"/>
        </w:rPr>
        <w:t>:</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-создание условий и организацию, обеспечивающих защиту сведений, составляющих государственную тайну;</w:t>
      </w:r>
    </w:p>
    <w:p w:rsidR="00BB1D39"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 xml:space="preserve">-создание условий, при которых должностное лицо или работник знакомятся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 </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-несоблюдение установленных ограничений по ознакомлению со сведениями, составляющими государственную тайну.</w:t>
      </w:r>
    </w:p>
    <w:p w:rsidR="002A5D55" w:rsidRPr="00003243" w:rsidRDefault="006C5ABF">
      <w:pPr>
        <w:pStyle w:val="20"/>
        <w:numPr>
          <w:ilvl w:val="0"/>
          <w:numId w:val="2"/>
        </w:numPr>
        <w:shd w:val="clear" w:color="auto" w:fill="auto"/>
        <w:tabs>
          <w:tab w:val="left" w:pos="682"/>
        </w:tabs>
        <w:spacing w:after="242"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lastRenderedPageBreak/>
        <w:t>осуществляет иные полномочия, не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отнесенные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Федеральным законом «Об обществах с ограниченной ответственностью» или настоящим уставом к компетенции общего собрания участников Общества.</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2A5D55" w:rsidRDefault="005468FA" w:rsidP="003B0B8D">
      <w:pPr>
        <w:pStyle w:val="20"/>
        <w:shd w:val="clear" w:color="auto" w:fill="auto"/>
        <w:spacing w:after="0" w:line="264" w:lineRule="exact"/>
        <w:ind w:left="220" w:firstLine="0"/>
        <w:jc w:val="both"/>
        <w:rPr>
          <w:rFonts w:ascii="Times New Roman" w:hAnsi="Times New Roman" w:cs="Times New Roman"/>
          <w:sz w:val="24"/>
          <w:szCs w:val="24"/>
        </w:rPr>
      </w:pPr>
      <w:r>
        <w:rPr>
          <w:rFonts w:ascii="Times New Roman" w:hAnsi="Times New Roman" w:cs="Times New Roman"/>
          <w:sz w:val="24"/>
          <w:szCs w:val="24"/>
        </w:rPr>
        <w:t>П</w:t>
      </w:r>
      <w:r w:rsidR="006C5ABF" w:rsidRPr="00003243">
        <w:rPr>
          <w:rFonts w:ascii="Times New Roman" w:hAnsi="Times New Roman" w:cs="Times New Roman"/>
          <w:sz w:val="24"/>
          <w:szCs w:val="24"/>
        </w:rPr>
        <w:t xml:space="preserve">роизведен в </w:t>
      </w:r>
      <w:r w:rsidR="00044B5D">
        <w:rPr>
          <w:rFonts w:ascii="Times New Roman" w:hAnsi="Times New Roman" w:cs="Times New Roman"/>
          <w:sz w:val="24"/>
          <w:szCs w:val="24"/>
        </w:rPr>
        <w:t>апреле</w:t>
      </w:r>
      <w:r w:rsidR="00BB1D39">
        <w:rPr>
          <w:rFonts w:ascii="Times New Roman" w:hAnsi="Times New Roman" w:cs="Times New Roman"/>
          <w:sz w:val="24"/>
          <w:szCs w:val="24"/>
        </w:rPr>
        <w:t xml:space="preserve"> 201</w:t>
      </w:r>
      <w:r w:rsidR="00044B5D">
        <w:rPr>
          <w:rFonts w:ascii="Times New Roman" w:hAnsi="Times New Roman" w:cs="Times New Roman"/>
          <w:sz w:val="24"/>
          <w:szCs w:val="24"/>
        </w:rPr>
        <w:t>6</w:t>
      </w:r>
      <w:r w:rsidR="00BB1D39">
        <w:rPr>
          <w:rFonts w:ascii="Times New Roman" w:hAnsi="Times New Roman" w:cs="Times New Roman"/>
          <w:sz w:val="24"/>
          <w:szCs w:val="24"/>
        </w:rPr>
        <w:t xml:space="preserve"> года</w:t>
      </w:r>
      <w:r w:rsidR="00044B5D">
        <w:rPr>
          <w:rFonts w:ascii="Times New Roman" w:hAnsi="Times New Roman" w:cs="Times New Roman"/>
          <w:sz w:val="24"/>
          <w:szCs w:val="24"/>
        </w:rPr>
        <w:t xml:space="preserve"> Территориальным управлением Федеральной службы финансово-бюджетного надзора в Республике Татарстан</w:t>
      </w:r>
      <w:r w:rsidR="00BB1D39">
        <w:rPr>
          <w:rFonts w:ascii="Times New Roman" w:hAnsi="Times New Roman" w:cs="Times New Roman"/>
          <w:sz w:val="24"/>
          <w:szCs w:val="24"/>
        </w:rPr>
        <w:t>,</w:t>
      </w:r>
      <w:r w:rsidR="003B0B8D">
        <w:rPr>
          <w:rFonts w:ascii="Times New Roman" w:hAnsi="Times New Roman" w:cs="Times New Roman"/>
          <w:sz w:val="24"/>
          <w:szCs w:val="24"/>
        </w:rPr>
        <w:t xml:space="preserve"> </w:t>
      </w:r>
      <w:r w:rsidR="00044B5D">
        <w:rPr>
          <w:rFonts w:ascii="Times New Roman" w:hAnsi="Times New Roman" w:cs="Times New Roman"/>
          <w:sz w:val="24"/>
          <w:szCs w:val="24"/>
        </w:rPr>
        <w:t>составлен</w:t>
      </w:r>
      <w:r w:rsidR="00BB1D39">
        <w:rPr>
          <w:rFonts w:ascii="Times New Roman" w:hAnsi="Times New Roman" w:cs="Times New Roman"/>
          <w:sz w:val="24"/>
          <w:szCs w:val="24"/>
        </w:rPr>
        <w:t xml:space="preserve"> </w:t>
      </w:r>
      <w:r w:rsidR="00044B5D">
        <w:rPr>
          <w:rFonts w:ascii="Times New Roman" w:hAnsi="Times New Roman" w:cs="Times New Roman"/>
          <w:sz w:val="24"/>
          <w:szCs w:val="24"/>
        </w:rPr>
        <w:t>АКТ внешней проверки качества работы от 08.04.2016 года.</w:t>
      </w:r>
    </w:p>
    <w:p w:rsidR="002A5D55" w:rsidRPr="00003243" w:rsidRDefault="006C5ABF">
      <w:pPr>
        <w:pStyle w:val="20"/>
        <w:shd w:val="clear" w:color="auto" w:fill="auto"/>
        <w:spacing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На основании </w:t>
      </w:r>
      <w:proofErr w:type="gramStart"/>
      <w:r w:rsidRPr="00003243">
        <w:rPr>
          <w:rFonts w:ascii="Times New Roman" w:hAnsi="Times New Roman" w:cs="Times New Roman"/>
          <w:sz w:val="24"/>
          <w:szCs w:val="24"/>
        </w:rPr>
        <w:t>результатов проведенной проверки внешнего контроля качества работы</w:t>
      </w:r>
      <w:proofErr w:type="gramEnd"/>
      <w:r w:rsidR="007761E1">
        <w:rPr>
          <w:rFonts w:ascii="Times New Roman" w:hAnsi="Times New Roman" w:cs="Times New Roman"/>
          <w:sz w:val="24"/>
          <w:szCs w:val="24"/>
        </w:rPr>
        <w:t xml:space="preserve"> </w:t>
      </w:r>
      <w:r w:rsidR="00044B5D" w:rsidRPr="00044B5D">
        <w:rPr>
          <w:rFonts w:ascii="Times New Roman" w:hAnsi="Times New Roman" w:cs="Times New Roman"/>
          <w:sz w:val="24"/>
          <w:szCs w:val="24"/>
        </w:rPr>
        <w:t xml:space="preserve">Территориальным управлением Федеральной службы финансово-бюджетного надзора в Республике Татарстан </w:t>
      </w:r>
      <w:r w:rsidR="00044B5D">
        <w:rPr>
          <w:rFonts w:ascii="Times New Roman" w:hAnsi="Times New Roman" w:cs="Times New Roman"/>
          <w:sz w:val="24"/>
          <w:szCs w:val="24"/>
        </w:rPr>
        <w:t xml:space="preserve">сделано заключение о соответствии деятельности </w:t>
      </w:r>
      <w:r w:rsidR="00044B5D" w:rsidRPr="00044B5D">
        <w:rPr>
          <w:rFonts w:ascii="Times New Roman" w:hAnsi="Times New Roman" w:cs="Times New Roman"/>
          <w:sz w:val="24"/>
          <w:szCs w:val="24"/>
        </w:rPr>
        <w:t xml:space="preserve">ООО АКОФ «АУДИТ-ЦЕНТР» </w:t>
      </w:r>
      <w:r w:rsidR="00044B5D">
        <w:rPr>
          <w:rFonts w:ascii="Times New Roman" w:hAnsi="Times New Roman" w:cs="Times New Roman"/>
          <w:sz w:val="24"/>
          <w:szCs w:val="24"/>
        </w:rPr>
        <w:t xml:space="preserve"> требованиям Федерального закона от 30.12.2008 г. №307-ФЗ «Об аудиторской деятельности, правил независимости аудиторов и аудиторских организаций, Кодекса профессиональной этики аудиторов</w:t>
      </w:r>
      <w:r w:rsidR="004E135C">
        <w:rPr>
          <w:rFonts w:ascii="Times New Roman" w:hAnsi="Times New Roman" w:cs="Times New Roman"/>
          <w:sz w:val="24"/>
          <w:szCs w:val="24"/>
        </w:rPr>
        <w:t>.</w:t>
      </w:r>
    </w:p>
    <w:p w:rsidR="003B0B8D" w:rsidRDefault="006C5ABF">
      <w:pPr>
        <w:pStyle w:val="20"/>
        <w:shd w:val="clear" w:color="auto" w:fill="auto"/>
        <w:spacing w:after="0" w:line="264" w:lineRule="exact"/>
        <w:ind w:firstLine="2420"/>
        <w:rPr>
          <w:rFonts w:ascii="Times New Roman" w:hAnsi="Times New Roman" w:cs="Times New Roman"/>
          <w:sz w:val="24"/>
          <w:szCs w:val="24"/>
        </w:rPr>
      </w:pPr>
      <w:r w:rsidRPr="003B0B8D">
        <w:rPr>
          <w:rFonts w:ascii="Times New Roman" w:hAnsi="Times New Roman" w:cs="Times New Roman"/>
          <w:b/>
          <w:sz w:val="24"/>
          <w:szCs w:val="24"/>
          <w:u w:val="single"/>
        </w:rPr>
        <w:t>Система внутреннего контроля качества</w:t>
      </w:r>
      <w:r w:rsidRPr="00003243">
        <w:rPr>
          <w:rFonts w:ascii="Times New Roman" w:hAnsi="Times New Roman" w:cs="Times New Roman"/>
          <w:sz w:val="24"/>
          <w:szCs w:val="24"/>
        </w:rPr>
        <w:t xml:space="preserve"> </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организации и функционированию внутрифирменной системы контроля качества аудита и 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Pr="00003243"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627254" w:rsidRDefault="00627254">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627254" w:rsidRDefault="00627254">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lastRenderedPageBreak/>
        <w:t>Повышение квалификации</w:t>
      </w:r>
    </w:p>
    <w:p w:rsidR="003B0B8D" w:rsidRPr="003B0B8D" w:rsidRDefault="003B0B8D" w:rsidP="007761E1">
      <w:pPr>
        <w:pStyle w:val="20"/>
        <w:shd w:val="clear" w:color="auto" w:fill="auto"/>
        <w:spacing w:after="212" w:line="200" w:lineRule="exact"/>
        <w:ind w:firstLine="0"/>
        <w:jc w:val="center"/>
        <w:rPr>
          <w:rFonts w:ascii="Times New Roman" w:hAnsi="Times New Roman" w:cs="Times New Roman"/>
          <w:b/>
          <w:sz w:val="24"/>
          <w:szCs w:val="24"/>
          <w:u w:val="single"/>
        </w:rPr>
      </w:pP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планами-графиками. На основании утвержденного в организации «Положения об аттестации» один раз в три года проводится аттестация сотрудников.</w:t>
      </w:r>
    </w:p>
    <w:p w:rsidR="002A5D55" w:rsidRPr="00003243"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5468FA" w:rsidRDefault="005468FA">
      <w:pPr>
        <w:pStyle w:val="20"/>
        <w:shd w:val="clear" w:color="auto" w:fill="auto"/>
        <w:spacing w:after="212" w:line="200" w:lineRule="exact"/>
        <w:ind w:firstLine="0"/>
        <w:jc w:val="center"/>
        <w:rPr>
          <w:rFonts w:ascii="Times New Roman" w:hAnsi="Times New Roman" w:cs="Times New Roman"/>
          <w:b/>
          <w:sz w:val="24"/>
          <w:szCs w:val="24"/>
          <w:u w:val="single"/>
        </w:rPr>
      </w:pP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2A5D55" w:rsidRPr="00003243" w:rsidRDefault="006C5ABF" w:rsidP="007761E1">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003243" w:rsidRDefault="006C5ABF" w:rsidP="007761E1">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В отношении общественно значимых хозяйствующих субъектов</w:t>
      </w:r>
      <w:r w:rsidR="003B0B8D" w:rsidRPr="007761E1">
        <w:rPr>
          <w:rFonts w:ascii="Times New Roman" w:hAnsi="Times New Roman" w:cs="Times New Roman"/>
          <w:sz w:val="24"/>
          <w:szCs w:val="24"/>
        </w:rPr>
        <w:t xml:space="preserve"> </w:t>
      </w:r>
      <w:r w:rsidRPr="007761E1">
        <w:rPr>
          <w:rFonts w:ascii="Times New Roman" w:hAnsi="Times New Roman" w:cs="Times New Roman"/>
          <w:sz w:val="24"/>
          <w:szCs w:val="24"/>
        </w:rPr>
        <w:t xml:space="preserve">- ротация руководителей проверки проводится также не менее одного раза в 7 лет. </w:t>
      </w:r>
    </w:p>
    <w:p w:rsidR="00E36EC4" w:rsidRDefault="00E36EC4" w:rsidP="007761E1">
      <w:pPr>
        <w:pStyle w:val="20"/>
        <w:shd w:val="clear" w:color="auto" w:fill="auto"/>
        <w:spacing w:after="242"/>
        <w:ind w:firstLine="700"/>
        <w:jc w:val="both"/>
        <w:rPr>
          <w:rFonts w:ascii="Times New Roman" w:hAnsi="Times New Roman" w:cs="Times New Roman"/>
          <w:sz w:val="24"/>
          <w:szCs w:val="24"/>
        </w:rPr>
      </w:pPr>
    </w:p>
    <w:p w:rsidR="00E36EC4" w:rsidRPr="00E36EC4" w:rsidRDefault="00E36EC4" w:rsidP="00E36EC4">
      <w:pPr>
        <w:spacing w:after="242" w:line="266" w:lineRule="exact"/>
        <w:ind w:firstLine="700"/>
        <w:jc w:val="both"/>
        <w:rPr>
          <w:rFonts w:ascii="Times New Roman" w:eastAsia="Arial" w:hAnsi="Times New Roman" w:cs="Times New Roman"/>
          <w:b/>
          <w:color w:val="auto"/>
        </w:rPr>
      </w:pPr>
      <w:r w:rsidRPr="00E36EC4">
        <w:rPr>
          <w:rFonts w:ascii="Times New Roman" w:eastAsia="Arial" w:hAnsi="Times New Roman" w:cs="Times New Roman"/>
          <w:b/>
          <w:color w:val="auto"/>
        </w:rPr>
        <w:t>Наименования всех организаций, предусмотренных частью 3 статьи 5 Федерального закона «Об аудиторской деятельности», в отношении бухгалтерской (финансовой) отчетности которых аудиторской организацией ООО АКОФ «АУДИТ-ЦЕНТР» в  прошедшем календарном году был проведен обязательный аудит:</w:t>
      </w:r>
    </w:p>
    <w:p w:rsidR="00E36EC4" w:rsidRPr="00E36EC4" w:rsidRDefault="00E36EC4" w:rsidP="00E36EC4">
      <w:pPr>
        <w:ind w:firstLine="697"/>
        <w:jc w:val="both"/>
        <w:rPr>
          <w:rFonts w:ascii="Times New Roman" w:eastAsia="Arial" w:hAnsi="Times New Roman" w:cs="Times New Roman"/>
          <w:color w:val="auto"/>
        </w:rPr>
      </w:pPr>
      <w:r>
        <w:rPr>
          <w:rFonts w:ascii="Times New Roman" w:eastAsia="Arial" w:hAnsi="Times New Roman" w:cs="Times New Roman"/>
          <w:color w:val="auto"/>
        </w:rPr>
        <w:t>1.</w:t>
      </w:r>
      <w:r w:rsidRPr="00E36EC4">
        <w:rPr>
          <w:rFonts w:ascii="Times New Roman" w:eastAsia="Arial" w:hAnsi="Times New Roman" w:cs="Times New Roman"/>
          <w:color w:val="auto"/>
        </w:rPr>
        <w:t>Акционерный коммерческий банк «Тольяттихимбанк» (закрытое акционерное общество)</w:t>
      </w:r>
    </w:p>
    <w:p w:rsidR="00E36EC4" w:rsidRPr="00E36EC4" w:rsidRDefault="00E36EC4" w:rsidP="00E36EC4">
      <w:pPr>
        <w:ind w:firstLine="697"/>
        <w:jc w:val="both"/>
        <w:rPr>
          <w:rFonts w:ascii="Times New Roman" w:eastAsia="Arial" w:hAnsi="Times New Roman" w:cs="Times New Roman"/>
          <w:color w:val="auto"/>
        </w:rPr>
      </w:pPr>
      <w:r>
        <w:rPr>
          <w:rFonts w:ascii="Times New Roman" w:eastAsia="Arial" w:hAnsi="Times New Roman" w:cs="Times New Roman"/>
          <w:color w:val="auto"/>
        </w:rPr>
        <w:t>2.</w:t>
      </w:r>
      <w:r w:rsidRPr="00E36EC4">
        <w:rPr>
          <w:rFonts w:ascii="Times New Roman" w:eastAsia="Arial" w:hAnsi="Times New Roman" w:cs="Times New Roman"/>
          <w:color w:val="auto"/>
        </w:rPr>
        <w:t>АКЦИОНЕРНОЕ ОБЩЕСТВО  «НАРОДНЫЙ ИНВЕСТИЦИОННЫЙ БАНК»</w:t>
      </w:r>
    </w:p>
    <w:p w:rsidR="00E36EC4" w:rsidRPr="00E36EC4" w:rsidRDefault="00E36EC4" w:rsidP="00E36EC4">
      <w:pPr>
        <w:ind w:firstLine="697"/>
        <w:jc w:val="both"/>
        <w:rPr>
          <w:rFonts w:ascii="Times New Roman" w:eastAsia="Arial" w:hAnsi="Times New Roman" w:cs="Times New Roman"/>
          <w:color w:val="auto"/>
        </w:rPr>
      </w:pPr>
      <w:r>
        <w:rPr>
          <w:rFonts w:ascii="Times New Roman" w:eastAsia="Arial" w:hAnsi="Times New Roman" w:cs="Times New Roman"/>
          <w:color w:val="auto"/>
        </w:rPr>
        <w:t>3.</w:t>
      </w:r>
      <w:r w:rsidRPr="00E36EC4">
        <w:rPr>
          <w:rFonts w:ascii="Times New Roman" w:eastAsia="Arial" w:hAnsi="Times New Roman" w:cs="Times New Roman"/>
          <w:color w:val="auto"/>
        </w:rPr>
        <w:t>Закрытое акционерное общество «Региональный коммерческий банк»</w:t>
      </w:r>
    </w:p>
    <w:p w:rsidR="00E36EC4" w:rsidRPr="00E36EC4" w:rsidRDefault="00E36EC4" w:rsidP="00E36EC4">
      <w:pPr>
        <w:ind w:firstLine="697"/>
        <w:jc w:val="both"/>
        <w:rPr>
          <w:rFonts w:ascii="Times New Roman" w:eastAsia="Arial" w:hAnsi="Times New Roman" w:cs="Times New Roman"/>
          <w:color w:val="auto"/>
        </w:rPr>
      </w:pPr>
      <w:r>
        <w:rPr>
          <w:rFonts w:ascii="Times New Roman" w:eastAsia="Arial" w:hAnsi="Times New Roman" w:cs="Times New Roman"/>
          <w:color w:val="auto"/>
        </w:rPr>
        <w:t>4.</w:t>
      </w:r>
      <w:r w:rsidRPr="00E36EC4">
        <w:rPr>
          <w:rFonts w:ascii="Times New Roman" w:eastAsia="Arial" w:hAnsi="Times New Roman" w:cs="Times New Roman"/>
          <w:color w:val="auto"/>
        </w:rPr>
        <w:t>Акционерный Коммерческий Банк «Банк развития технологий и сбережений» (закрытое акционерное общество)</w:t>
      </w:r>
    </w:p>
    <w:p w:rsidR="00E36EC4" w:rsidRDefault="00E36EC4" w:rsidP="00E36EC4">
      <w:pPr>
        <w:ind w:firstLine="697"/>
        <w:jc w:val="both"/>
        <w:rPr>
          <w:rFonts w:ascii="Times New Roman" w:eastAsia="Arial" w:hAnsi="Times New Roman" w:cs="Times New Roman"/>
          <w:color w:val="auto"/>
        </w:rPr>
      </w:pPr>
      <w:r>
        <w:rPr>
          <w:rFonts w:ascii="Times New Roman" w:eastAsia="Arial" w:hAnsi="Times New Roman" w:cs="Times New Roman"/>
          <w:color w:val="auto"/>
        </w:rPr>
        <w:t>5.</w:t>
      </w:r>
      <w:r w:rsidRPr="00E36EC4">
        <w:rPr>
          <w:rFonts w:ascii="Times New Roman" w:eastAsia="Arial" w:hAnsi="Times New Roman" w:cs="Times New Roman"/>
          <w:color w:val="auto"/>
        </w:rPr>
        <w:t>Небанковская кредитная организация «Расчетная палата Самарской валютной межбанковской биржи» - акционерное общество</w:t>
      </w:r>
    </w:p>
    <w:p w:rsidR="00E36EC4" w:rsidRPr="00E36EC4" w:rsidRDefault="00E36EC4" w:rsidP="00E36EC4">
      <w:pPr>
        <w:ind w:firstLine="697"/>
        <w:jc w:val="both"/>
        <w:rPr>
          <w:rFonts w:ascii="Times New Roman" w:eastAsia="Arial" w:hAnsi="Times New Roman" w:cs="Times New Roman"/>
          <w:color w:val="auto"/>
        </w:rPr>
      </w:pPr>
      <w:r>
        <w:rPr>
          <w:rFonts w:ascii="Times New Roman" w:eastAsia="Arial" w:hAnsi="Times New Roman" w:cs="Times New Roman"/>
          <w:color w:val="auto"/>
        </w:rPr>
        <w:t>6.</w:t>
      </w:r>
      <w:r w:rsidRPr="00E36EC4">
        <w:rPr>
          <w:rFonts w:ascii="Times New Roman" w:eastAsia="Arial" w:hAnsi="Times New Roman" w:cs="Times New Roman"/>
          <w:color w:val="auto"/>
        </w:rPr>
        <w:t>Негосударственный пенсионный фонд «Титан»</w:t>
      </w:r>
    </w:p>
    <w:p w:rsidR="00E36EC4" w:rsidRDefault="00E36EC4" w:rsidP="00E36EC4">
      <w:pPr>
        <w:ind w:firstLine="697"/>
        <w:jc w:val="both"/>
        <w:rPr>
          <w:rFonts w:ascii="Times New Roman" w:eastAsia="Arial" w:hAnsi="Times New Roman" w:cs="Times New Roman"/>
          <w:color w:val="auto"/>
        </w:rPr>
      </w:pPr>
      <w:r>
        <w:rPr>
          <w:rFonts w:ascii="Times New Roman" w:eastAsia="Arial" w:hAnsi="Times New Roman" w:cs="Times New Roman"/>
          <w:color w:val="auto"/>
        </w:rPr>
        <w:t>7.</w:t>
      </w:r>
      <w:r w:rsidRPr="00E36EC4">
        <w:rPr>
          <w:rFonts w:ascii="Times New Roman" w:eastAsia="Arial" w:hAnsi="Times New Roman" w:cs="Times New Roman"/>
          <w:color w:val="auto"/>
        </w:rPr>
        <w:t xml:space="preserve">Общество с ограниченной ответственностью «ТРИНФИКО </w:t>
      </w:r>
      <w:proofErr w:type="spellStart"/>
      <w:r w:rsidRPr="00E36EC4">
        <w:rPr>
          <w:rFonts w:ascii="Times New Roman" w:eastAsia="Arial" w:hAnsi="Times New Roman" w:cs="Times New Roman"/>
          <w:color w:val="auto"/>
        </w:rPr>
        <w:t>Пропети</w:t>
      </w:r>
      <w:proofErr w:type="spellEnd"/>
      <w:r w:rsidRPr="00E36EC4">
        <w:rPr>
          <w:rFonts w:ascii="Times New Roman" w:eastAsia="Arial" w:hAnsi="Times New Roman" w:cs="Times New Roman"/>
          <w:color w:val="auto"/>
        </w:rPr>
        <w:t xml:space="preserve"> Менеджмент» Д.У. ЗПИФ недвижимости «</w:t>
      </w:r>
      <w:proofErr w:type="spellStart"/>
      <w:r w:rsidRPr="00E36EC4">
        <w:rPr>
          <w:rFonts w:ascii="Times New Roman" w:eastAsia="Arial" w:hAnsi="Times New Roman" w:cs="Times New Roman"/>
          <w:color w:val="auto"/>
        </w:rPr>
        <w:t>Волгаинвест</w:t>
      </w:r>
      <w:proofErr w:type="spellEnd"/>
      <w:r w:rsidRPr="00E36EC4">
        <w:rPr>
          <w:rFonts w:ascii="Times New Roman" w:eastAsia="Arial" w:hAnsi="Times New Roman" w:cs="Times New Roman"/>
          <w:color w:val="auto"/>
        </w:rPr>
        <w:t>-Недвижимость»</w:t>
      </w:r>
    </w:p>
    <w:p w:rsidR="00E36EC4" w:rsidRPr="00E36EC4" w:rsidRDefault="00E36EC4" w:rsidP="00E36EC4">
      <w:pPr>
        <w:ind w:firstLine="697"/>
        <w:jc w:val="both"/>
        <w:rPr>
          <w:rFonts w:ascii="Times New Roman" w:eastAsia="Arial" w:hAnsi="Times New Roman" w:cs="Times New Roman"/>
          <w:color w:val="auto"/>
        </w:rPr>
      </w:pPr>
      <w:r>
        <w:rPr>
          <w:rFonts w:ascii="Times New Roman" w:eastAsia="Arial" w:hAnsi="Times New Roman" w:cs="Times New Roman"/>
          <w:color w:val="auto"/>
        </w:rPr>
        <w:t>8.</w:t>
      </w:r>
      <w:r w:rsidRPr="00E36EC4">
        <w:rPr>
          <w:rFonts w:ascii="Times New Roman" w:eastAsia="Arial" w:hAnsi="Times New Roman" w:cs="Times New Roman"/>
          <w:color w:val="auto"/>
        </w:rPr>
        <w:t>ОАО УИК «АРМАДА»</w:t>
      </w:r>
    </w:p>
    <w:p w:rsidR="00E36EC4" w:rsidRDefault="00E36EC4" w:rsidP="00E36EC4">
      <w:pPr>
        <w:shd w:val="clear" w:color="auto" w:fill="FFFFFF"/>
        <w:spacing w:after="242" w:line="266" w:lineRule="exact"/>
        <w:ind w:firstLine="700"/>
        <w:jc w:val="both"/>
        <w:rPr>
          <w:rFonts w:ascii="Times New Roman" w:eastAsia="Arial" w:hAnsi="Times New Roman" w:cs="Times New Roman"/>
          <w:color w:val="auto"/>
        </w:rPr>
      </w:pPr>
    </w:p>
    <w:p w:rsidR="00E36EC4" w:rsidRPr="00E36EC4" w:rsidRDefault="00E36EC4" w:rsidP="00E36EC4">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 xml:space="preserve">Сведения о выручке аудиторской организации ООО АКОФ «АУДИТ-ЦЕНТР» за прошлый отчетный год, в том числе о суммах, полученных </w:t>
      </w:r>
      <w:proofErr w:type="gramStart"/>
      <w:r w:rsidRPr="00E36EC4">
        <w:rPr>
          <w:rFonts w:ascii="Times New Roman" w:eastAsia="Arial" w:hAnsi="Times New Roman" w:cs="Times New Roman"/>
          <w:color w:val="auto"/>
        </w:rPr>
        <w:t>от</w:t>
      </w:r>
      <w:proofErr w:type="gramEnd"/>
      <w:r w:rsidRPr="00E36EC4">
        <w:rPr>
          <w:rFonts w:ascii="Times New Roman" w:eastAsia="Arial" w:hAnsi="Times New Roman" w:cs="Times New Roman"/>
          <w:color w:val="auto"/>
        </w:rPr>
        <w:t>:</w:t>
      </w:r>
    </w:p>
    <w:p w:rsidR="00E36EC4" w:rsidRPr="00E36EC4" w:rsidRDefault="00E36EC4" w:rsidP="00E36EC4">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ab/>
        <w:t>а) проведения обязательного аудита бухгалтерской (финансовой) отчетности, в том числе консолидированной:</w:t>
      </w:r>
    </w:p>
    <w:p w:rsidR="00E36EC4" w:rsidRPr="00E36EC4" w:rsidRDefault="00E36EC4" w:rsidP="00E36EC4">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ab/>
        <w:t xml:space="preserve">- организаций, предусмотренных частью 3 статьи 5 Федерального закона «Об аудиторской деятельности», и организаций, входящих в группы, находящиеся под их контролем – </w:t>
      </w:r>
      <w:r>
        <w:rPr>
          <w:rFonts w:ascii="Times New Roman" w:eastAsia="Arial" w:hAnsi="Times New Roman" w:cs="Times New Roman"/>
          <w:color w:val="auto"/>
        </w:rPr>
        <w:t>2335</w:t>
      </w:r>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тыс</w:t>
      </w:r>
      <w:proofErr w:type="gramStart"/>
      <w:r w:rsidRPr="00E36EC4">
        <w:rPr>
          <w:rFonts w:ascii="Times New Roman" w:eastAsia="Arial" w:hAnsi="Times New Roman" w:cs="Times New Roman"/>
          <w:color w:val="auto"/>
        </w:rPr>
        <w:t>.р</w:t>
      </w:r>
      <w:proofErr w:type="gramEnd"/>
      <w:r w:rsidRPr="00E36EC4">
        <w:rPr>
          <w:rFonts w:ascii="Times New Roman" w:eastAsia="Arial" w:hAnsi="Times New Roman" w:cs="Times New Roman"/>
          <w:color w:val="auto"/>
        </w:rPr>
        <w:t>уб</w:t>
      </w:r>
      <w:proofErr w:type="spellEnd"/>
      <w:r w:rsidRPr="00E36EC4">
        <w:rPr>
          <w:rFonts w:ascii="Times New Roman" w:eastAsia="Arial" w:hAnsi="Times New Roman" w:cs="Times New Roman"/>
          <w:color w:val="auto"/>
        </w:rPr>
        <w:t>.;</w:t>
      </w:r>
    </w:p>
    <w:p w:rsidR="00E36EC4" w:rsidRPr="00E36EC4" w:rsidRDefault="00E36EC4" w:rsidP="00E36EC4">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lastRenderedPageBreak/>
        <w:tab/>
        <w:t xml:space="preserve">- прочих организаций – </w:t>
      </w:r>
      <w:r>
        <w:rPr>
          <w:rFonts w:ascii="Times New Roman" w:eastAsia="Arial" w:hAnsi="Times New Roman" w:cs="Times New Roman"/>
          <w:color w:val="auto"/>
        </w:rPr>
        <w:t>1565</w:t>
      </w:r>
      <w:bookmarkStart w:id="0" w:name="_GoBack"/>
      <w:bookmarkEnd w:id="0"/>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тыс.руб</w:t>
      </w:r>
      <w:proofErr w:type="spellEnd"/>
      <w:r w:rsidRPr="00E36EC4">
        <w:rPr>
          <w:rFonts w:ascii="Times New Roman" w:eastAsia="Arial" w:hAnsi="Times New Roman" w:cs="Times New Roman"/>
          <w:color w:val="auto"/>
        </w:rPr>
        <w:t>.;</w:t>
      </w:r>
    </w:p>
    <w:p w:rsidR="00E36EC4" w:rsidRPr="00E36EC4" w:rsidRDefault="00E36EC4" w:rsidP="00E36EC4">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ab/>
        <w:t>б) предоставления услуг, связанных с выполнением отличных от аудита бухгалтерской (финансовой) отчетности организаций заданий, обеспечивающих уверенность, консультационных услуг в области налогообложения и прочих связанных с аудиторской деятельностью услуг:</w:t>
      </w:r>
    </w:p>
    <w:p w:rsidR="00E36EC4" w:rsidRPr="00E36EC4" w:rsidRDefault="00E36EC4" w:rsidP="00E36EC4">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аудируемым</w:t>
      </w:r>
      <w:proofErr w:type="spellEnd"/>
      <w:r w:rsidRPr="00E36EC4">
        <w:rPr>
          <w:rFonts w:ascii="Times New Roman" w:eastAsia="Arial" w:hAnsi="Times New Roman" w:cs="Times New Roman"/>
          <w:color w:val="auto"/>
        </w:rPr>
        <w:t xml:space="preserve"> лицам – </w:t>
      </w:r>
      <w:r>
        <w:rPr>
          <w:rFonts w:ascii="Times New Roman" w:eastAsia="Arial" w:hAnsi="Times New Roman" w:cs="Times New Roman"/>
          <w:color w:val="auto"/>
        </w:rPr>
        <w:t>515</w:t>
      </w:r>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тыс</w:t>
      </w:r>
      <w:proofErr w:type="gramStart"/>
      <w:r w:rsidRPr="00E36EC4">
        <w:rPr>
          <w:rFonts w:ascii="Times New Roman" w:eastAsia="Arial" w:hAnsi="Times New Roman" w:cs="Times New Roman"/>
          <w:color w:val="auto"/>
        </w:rPr>
        <w:t>.р</w:t>
      </w:r>
      <w:proofErr w:type="gramEnd"/>
      <w:r w:rsidRPr="00E36EC4">
        <w:rPr>
          <w:rFonts w:ascii="Times New Roman" w:eastAsia="Arial" w:hAnsi="Times New Roman" w:cs="Times New Roman"/>
          <w:color w:val="auto"/>
        </w:rPr>
        <w:t>уб</w:t>
      </w:r>
      <w:proofErr w:type="spellEnd"/>
      <w:r w:rsidRPr="00E36EC4">
        <w:rPr>
          <w:rFonts w:ascii="Times New Roman" w:eastAsia="Arial" w:hAnsi="Times New Roman" w:cs="Times New Roman"/>
          <w:color w:val="auto"/>
        </w:rPr>
        <w:t>..</w:t>
      </w:r>
    </w:p>
    <w:p w:rsidR="00E36EC4" w:rsidRPr="007761E1" w:rsidRDefault="00E36EC4" w:rsidP="007761E1">
      <w:pPr>
        <w:pStyle w:val="20"/>
        <w:shd w:val="clear" w:color="auto" w:fill="auto"/>
        <w:spacing w:after="242"/>
        <w:ind w:firstLine="700"/>
        <w:jc w:val="both"/>
        <w:rPr>
          <w:rFonts w:ascii="Times New Roman" w:hAnsi="Times New Roman" w:cs="Times New Roman"/>
          <w:sz w:val="24"/>
          <w:szCs w:val="24"/>
        </w:rPr>
      </w:pPr>
    </w:p>
    <w:sectPr w:rsidR="00E36EC4" w:rsidRPr="007761E1">
      <w:pgSz w:w="11900" w:h="16840"/>
      <w:pgMar w:top="1279" w:right="1227" w:bottom="1717" w:left="13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26B" w:rsidRDefault="00D8626B">
      <w:r>
        <w:separator/>
      </w:r>
    </w:p>
  </w:endnote>
  <w:endnote w:type="continuationSeparator" w:id="0">
    <w:p w:rsidR="00D8626B" w:rsidRDefault="00D8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26B" w:rsidRDefault="00D8626B"/>
  </w:footnote>
  <w:footnote w:type="continuationSeparator" w:id="0">
    <w:p w:rsidR="00D8626B" w:rsidRDefault="00D862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044B5D"/>
    <w:rsid w:val="002A5D55"/>
    <w:rsid w:val="003B0B8D"/>
    <w:rsid w:val="004E135C"/>
    <w:rsid w:val="005468FA"/>
    <w:rsid w:val="00627254"/>
    <w:rsid w:val="006C5ABF"/>
    <w:rsid w:val="007761E1"/>
    <w:rsid w:val="00BB1D39"/>
    <w:rsid w:val="00C450A5"/>
    <w:rsid w:val="00D537EB"/>
    <w:rsid w:val="00D8626B"/>
    <w:rsid w:val="00E36EC4"/>
    <w:rsid w:val="00F1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1616</Words>
  <Characters>9213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6</cp:revision>
  <dcterms:created xsi:type="dcterms:W3CDTF">2018-02-20T11:28:00Z</dcterms:created>
  <dcterms:modified xsi:type="dcterms:W3CDTF">2018-04-16T09:02:00Z</dcterms:modified>
</cp:coreProperties>
</file>